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903" w:rsidRDefault="009360EE" w:rsidP="006E400B">
      <w:pPr>
        <w:autoSpaceDE w:val="0"/>
        <w:autoSpaceDN w:val="0"/>
        <w:adjustRightInd w:val="0"/>
        <w:spacing w:after="0" w:line="240" w:lineRule="auto"/>
        <w:jc w:val="both"/>
        <w:rPr>
          <w:rFonts w:ascii="Times New Roman" w:hAnsi="Times New Roman" w:cs="Times New Roman"/>
          <w:b/>
          <w:bCs/>
          <w:color w:val="548DD4" w:themeColor="text2" w:themeTint="99"/>
          <w:sz w:val="24"/>
          <w:szCs w:val="24"/>
        </w:rPr>
      </w:pPr>
      <w:r>
        <w:rPr>
          <w:rFonts w:ascii="Times New Roman" w:hAnsi="Times New Roman" w:cs="Times New Roman"/>
          <w:b/>
          <w:bCs/>
          <w:color w:val="548DD4" w:themeColor="text2" w:themeTint="99"/>
          <w:sz w:val="24"/>
          <w:szCs w:val="24"/>
        </w:rPr>
        <w:t xml:space="preserve"> </w:t>
      </w:r>
    </w:p>
    <w:p w:rsidR="00522223" w:rsidRDefault="00522223" w:rsidP="00522223">
      <w:pPr>
        <w:pStyle w:val="1"/>
        <w:spacing w:before="0"/>
        <w:jc w:val="center"/>
        <w:rPr>
          <w:rFonts w:ascii="Times New Roman" w:hAnsi="Times New Roman" w:cs="Times New Roman"/>
          <w:color w:val="auto"/>
          <w:sz w:val="24"/>
          <w:szCs w:val="24"/>
        </w:rPr>
      </w:pPr>
      <w:r w:rsidRPr="00462FE4">
        <w:rPr>
          <w:rFonts w:ascii="Times New Roman" w:hAnsi="Times New Roman" w:cs="Times New Roman"/>
          <w:color w:val="auto"/>
          <w:sz w:val="24"/>
          <w:szCs w:val="24"/>
        </w:rPr>
        <w:t>ПАСПОРТ</w:t>
      </w:r>
      <w:r>
        <w:rPr>
          <w:rFonts w:ascii="Times New Roman" w:hAnsi="Times New Roman" w:cs="Times New Roman"/>
          <w:color w:val="auto"/>
          <w:sz w:val="24"/>
          <w:szCs w:val="24"/>
        </w:rPr>
        <w:t xml:space="preserve"> УСЛУГИ (ПРОЦЕССА) ООО «</w:t>
      </w:r>
      <w:r w:rsidR="00F959AD">
        <w:rPr>
          <w:rFonts w:ascii="Times New Roman" w:hAnsi="Times New Roman" w:cs="Times New Roman"/>
          <w:color w:val="auto"/>
          <w:sz w:val="24"/>
          <w:szCs w:val="24"/>
        </w:rPr>
        <w:t>ЭНЕРГО АКТИВ</w:t>
      </w:r>
      <w:r>
        <w:rPr>
          <w:rFonts w:ascii="Times New Roman" w:hAnsi="Times New Roman" w:cs="Times New Roman"/>
          <w:color w:val="auto"/>
          <w:sz w:val="24"/>
          <w:szCs w:val="24"/>
        </w:rPr>
        <w:t xml:space="preserve">»  </w:t>
      </w:r>
    </w:p>
    <w:p w:rsidR="00522223" w:rsidRPr="00BB37FC" w:rsidRDefault="009360EE" w:rsidP="009360EE">
      <w:pPr>
        <w:pStyle w:val="1"/>
        <w:spacing w:before="0"/>
        <w:jc w:val="center"/>
        <w:rPr>
          <w:rFonts w:ascii="Times New Roman" w:hAnsi="Times New Roman" w:cs="Times New Roman"/>
          <w:b w:val="0"/>
          <w:bCs w:val="0"/>
          <w:color w:val="548DD4" w:themeColor="text2" w:themeTint="99"/>
          <w:sz w:val="24"/>
          <w:szCs w:val="24"/>
        </w:rPr>
      </w:pPr>
      <w:r>
        <w:rPr>
          <w:rFonts w:ascii="Times New Roman" w:hAnsi="Times New Roman" w:cs="Times New Roman"/>
          <w:color w:val="auto"/>
          <w:sz w:val="24"/>
          <w:szCs w:val="24"/>
        </w:rPr>
        <w:t xml:space="preserve"> </w:t>
      </w:r>
      <w:r w:rsidR="00522223">
        <w:rPr>
          <w:rFonts w:ascii="Times New Roman" w:hAnsi="Times New Roman" w:cs="Times New Roman"/>
          <w:color w:val="548DD4" w:themeColor="text2" w:themeTint="99"/>
          <w:sz w:val="24"/>
          <w:szCs w:val="24"/>
        </w:rPr>
        <w:t>КОД 2</w:t>
      </w:r>
      <w:r w:rsidR="00522223" w:rsidRPr="00BB37FC">
        <w:rPr>
          <w:rFonts w:ascii="Times New Roman" w:hAnsi="Times New Roman" w:cs="Times New Roman"/>
          <w:color w:val="548DD4" w:themeColor="text2" w:themeTint="99"/>
          <w:sz w:val="24"/>
          <w:szCs w:val="24"/>
        </w:rPr>
        <w:t>.1. РАСЧЕТ ОБЪЕМА ПЕРЕДАННОЙ ЭЛЕКТРИЧЕСКОЙ ЭНЕРГИИ ПОТРЕБИТЕЛЮ</w:t>
      </w:r>
    </w:p>
    <w:p w:rsidR="00522223" w:rsidRPr="00BB37FC" w:rsidRDefault="00522223" w:rsidP="00522223">
      <w:pPr>
        <w:autoSpaceDE w:val="0"/>
        <w:autoSpaceDN w:val="0"/>
        <w:adjustRightInd w:val="0"/>
        <w:spacing w:after="0" w:line="240" w:lineRule="auto"/>
        <w:ind w:firstLine="539"/>
        <w:jc w:val="center"/>
        <w:rPr>
          <w:rFonts w:ascii="Times New Roman" w:hAnsi="Times New Roman" w:cs="Times New Roman"/>
          <w:b/>
          <w:bCs/>
          <w:sz w:val="24"/>
          <w:szCs w:val="24"/>
        </w:rPr>
      </w:pPr>
    </w:p>
    <w:p w:rsidR="00522223" w:rsidRPr="00BB37FC" w:rsidRDefault="00522223" w:rsidP="00522223">
      <w:pPr>
        <w:spacing w:after="0" w:line="240" w:lineRule="auto"/>
        <w:jc w:val="both"/>
        <w:rPr>
          <w:rFonts w:ascii="Times New Roman" w:hAnsi="Times New Roman" w:cs="Times New Roman"/>
          <w:sz w:val="24"/>
          <w:szCs w:val="24"/>
        </w:rPr>
      </w:pPr>
      <w:r w:rsidRPr="00BB37FC">
        <w:rPr>
          <w:rFonts w:ascii="Times New Roman" w:hAnsi="Times New Roman" w:cs="Times New Roman"/>
          <w:b/>
          <w:color w:val="548DD4" w:themeColor="text2" w:themeTint="99"/>
          <w:sz w:val="24"/>
          <w:szCs w:val="24"/>
        </w:rPr>
        <w:t xml:space="preserve">КРУГ ЗАЯВИТЕЛЕЙ (ПОТРЕБИТЕЛЕЙ): </w:t>
      </w:r>
      <w:r w:rsidRPr="00BB37FC">
        <w:rPr>
          <w:rFonts w:ascii="Times New Roman" w:hAnsi="Times New Roman" w:cs="Times New Roman"/>
          <w:sz w:val="24"/>
          <w:szCs w:val="24"/>
        </w:rPr>
        <w:t>юридические и физические лица, индивидуальные предприниматели.</w:t>
      </w:r>
    </w:p>
    <w:p w:rsidR="00522223" w:rsidRPr="00BB37FC" w:rsidRDefault="00522223" w:rsidP="00522223">
      <w:pPr>
        <w:pStyle w:val="ConsPlusNonformat"/>
        <w:jc w:val="both"/>
        <w:rPr>
          <w:rFonts w:ascii="Times New Roman" w:hAnsi="Times New Roman" w:cs="Times New Roman"/>
          <w:sz w:val="24"/>
          <w:szCs w:val="24"/>
        </w:rPr>
      </w:pPr>
      <w:r w:rsidRPr="00BB37FC">
        <w:rPr>
          <w:rFonts w:ascii="Times New Roman" w:hAnsi="Times New Roman" w:cs="Times New Roman"/>
          <w:b/>
          <w:color w:val="548DD4" w:themeColor="text2" w:themeTint="99"/>
          <w:sz w:val="24"/>
          <w:szCs w:val="24"/>
        </w:rPr>
        <w:t>РАЗМЕР ПЛАТЫ ЗА ПРЕДОСТАВЛЕНИЕ УСЛУГИ (ПРОЦЕССА) И ОСНОВАНИЕ ЕЕ ВЗИМАНИЯ:</w:t>
      </w:r>
      <w:r w:rsidRPr="00BB37FC">
        <w:rPr>
          <w:rFonts w:ascii="Times New Roman" w:hAnsi="Times New Roman" w:cs="Times New Roman"/>
          <w:b/>
          <w:sz w:val="24"/>
          <w:szCs w:val="24"/>
        </w:rPr>
        <w:t xml:space="preserve"> </w:t>
      </w:r>
      <w:r w:rsidRPr="00BB37FC">
        <w:rPr>
          <w:rFonts w:ascii="Times New Roman" w:hAnsi="Times New Roman" w:cs="Times New Roman"/>
          <w:sz w:val="24"/>
          <w:szCs w:val="24"/>
        </w:rPr>
        <w:t>плата не предусмотрена и не взимается.</w:t>
      </w:r>
    </w:p>
    <w:p w:rsidR="00522223" w:rsidRPr="00BB37FC" w:rsidRDefault="00522223" w:rsidP="00522223">
      <w:pPr>
        <w:autoSpaceDE w:val="0"/>
        <w:autoSpaceDN w:val="0"/>
        <w:adjustRightInd w:val="0"/>
        <w:spacing w:after="0" w:line="240" w:lineRule="auto"/>
        <w:jc w:val="both"/>
        <w:rPr>
          <w:rFonts w:ascii="Times New Roman" w:hAnsi="Times New Roman" w:cs="Times New Roman"/>
          <w:sz w:val="24"/>
          <w:szCs w:val="24"/>
        </w:rPr>
      </w:pPr>
      <w:r w:rsidRPr="00BB37FC">
        <w:rPr>
          <w:rFonts w:ascii="Times New Roman" w:hAnsi="Times New Roman" w:cs="Times New Roman"/>
          <w:b/>
          <w:color w:val="548DD4" w:themeColor="text2" w:themeTint="99"/>
          <w:sz w:val="24"/>
          <w:szCs w:val="24"/>
        </w:rPr>
        <w:t>УСЛОВИЯ ОКАЗАНИЯ УСЛУГИ (ПРОЦЕССА):</w:t>
      </w:r>
      <w:r w:rsidRPr="00BB37FC">
        <w:rPr>
          <w:rFonts w:ascii="Times New Roman" w:hAnsi="Times New Roman" w:cs="Times New Roman"/>
          <w:sz w:val="24"/>
          <w:szCs w:val="24"/>
        </w:rPr>
        <w:t xml:space="preserve"> наличие заключенного с сетевой организацией договора оказания услуг по передаче электрической энергии, процесс осуществляется в рамках оказания услуг по передаче электрической энергии.</w:t>
      </w:r>
    </w:p>
    <w:p w:rsidR="00522223" w:rsidRPr="00BB37FC" w:rsidRDefault="00522223" w:rsidP="00522223">
      <w:pPr>
        <w:autoSpaceDE w:val="0"/>
        <w:autoSpaceDN w:val="0"/>
        <w:adjustRightInd w:val="0"/>
        <w:spacing w:after="0" w:line="240" w:lineRule="auto"/>
        <w:jc w:val="both"/>
        <w:rPr>
          <w:rFonts w:ascii="Times New Roman" w:hAnsi="Times New Roman" w:cs="Times New Roman"/>
          <w:sz w:val="24"/>
          <w:szCs w:val="24"/>
        </w:rPr>
      </w:pPr>
      <w:r w:rsidRPr="00BB37FC">
        <w:rPr>
          <w:rFonts w:ascii="Times New Roman" w:hAnsi="Times New Roman" w:cs="Times New Roman"/>
          <w:b/>
          <w:color w:val="548DD4" w:themeColor="text2" w:themeTint="99"/>
          <w:sz w:val="24"/>
          <w:szCs w:val="24"/>
        </w:rPr>
        <w:t xml:space="preserve">РЕЗУЛЬТАТ ОКАЗАНИЯ УСЛУГИ (ПРОЦЕССА): </w:t>
      </w:r>
      <w:r w:rsidRPr="00BB37FC">
        <w:rPr>
          <w:rFonts w:ascii="Times New Roman" w:hAnsi="Times New Roman" w:cs="Times New Roman"/>
          <w:sz w:val="24"/>
          <w:szCs w:val="24"/>
        </w:rPr>
        <w:t>расчет объема переданной электрической энергии потребителю.</w:t>
      </w:r>
    </w:p>
    <w:p w:rsidR="00522223" w:rsidRPr="00BB37FC" w:rsidRDefault="00522223" w:rsidP="00522223">
      <w:pPr>
        <w:spacing w:after="0" w:line="240" w:lineRule="auto"/>
        <w:jc w:val="both"/>
        <w:outlineLvl w:val="0"/>
        <w:rPr>
          <w:rFonts w:ascii="Times New Roman" w:hAnsi="Times New Roman" w:cs="Times New Roman"/>
          <w:b/>
          <w:color w:val="548DD4" w:themeColor="text2" w:themeTint="99"/>
          <w:sz w:val="24"/>
          <w:szCs w:val="24"/>
        </w:rPr>
      </w:pPr>
      <w:r w:rsidRPr="00BB37FC">
        <w:rPr>
          <w:rFonts w:ascii="Times New Roman" w:hAnsi="Times New Roman" w:cs="Times New Roman"/>
          <w:b/>
          <w:color w:val="548DD4" w:themeColor="text2" w:themeTint="99"/>
          <w:sz w:val="24"/>
          <w:szCs w:val="24"/>
        </w:rPr>
        <w:t>СОСТАВ, ПОСЛЕДОВАТЕЛЬНОСТЬ И СРОКИ ОКАЗАНИЯ УСЛУГИ (ПРОЦЕССА):</w:t>
      </w:r>
    </w:p>
    <w:tbl>
      <w:tblPr>
        <w:tblStyle w:val="-110"/>
        <w:tblW w:w="4923" w:type="pct"/>
        <w:tblInd w:w="108" w:type="dxa"/>
        <w:tblLayout w:type="fixed"/>
        <w:tblLook w:val="00A0" w:firstRow="1" w:lastRow="0" w:firstColumn="1" w:lastColumn="0" w:noHBand="0" w:noVBand="0"/>
      </w:tblPr>
      <w:tblGrid>
        <w:gridCol w:w="559"/>
        <w:gridCol w:w="1804"/>
        <w:gridCol w:w="2559"/>
        <w:gridCol w:w="2607"/>
        <w:gridCol w:w="1888"/>
        <w:gridCol w:w="2399"/>
        <w:gridCol w:w="2231"/>
      </w:tblGrid>
      <w:tr w:rsidR="00522223" w:rsidRPr="00BB37FC" w:rsidTr="00786FE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9" w:type="pct"/>
            <w:tcBorders>
              <w:top w:val="single" w:sz="8" w:space="0" w:color="4F81BD" w:themeColor="accent1"/>
              <w:bottom w:val="double" w:sz="4" w:space="0" w:color="4F81BD" w:themeColor="accent1"/>
            </w:tcBorders>
          </w:tcPr>
          <w:p w:rsidR="00522223" w:rsidRPr="00BB37FC" w:rsidRDefault="00522223" w:rsidP="00786FEA">
            <w:pPr>
              <w:jc w:val="center"/>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w:t>
            </w:r>
          </w:p>
        </w:tc>
        <w:tc>
          <w:tcPr>
            <w:cnfStyle w:val="000010000000" w:firstRow="0" w:lastRow="0" w:firstColumn="0" w:lastColumn="0" w:oddVBand="1" w:evenVBand="0" w:oddHBand="0" w:evenHBand="0" w:firstRowFirstColumn="0" w:firstRowLastColumn="0" w:lastRowFirstColumn="0" w:lastRowLastColumn="0"/>
            <w:tcW w:w="642" w:type="pct"/>
            <w:tcBorders>
              <w:bottom w:val="double" w:sz="4" w:space="0" w:color="4F81BD" w:themeColor="accent1"/>
              <w:right w:val="single" w:sz="4" w:space="0" w:color="FFFFFF" w:themeColor="background1"/>
            </w:tcBorders>
          </w:tcPr>
          <w:p w:rsidR="00522223" w:rsidRPr="00BB37FC" w:rsidRDefault="00522223" w:rsidP="00786FEA">
            <w:pPr>
              <w:jc w:val="center"/>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Этап</w:t>
            </w:r>
          </w:p>
        </w:tc>
        <w:tc>
          <w:tcPr>
            <w:tcW w:w="911" w:type="pct"/>
            <w:tcBorders>
              <w:top w:val="single" w:sz="8" w:space="0" w:color="4F81BD" w:themeColor="accent1"/>
              <w:left w:val="single" w:sz="4" w:space="0" w:color="FFFFFF" w:themeColor="background1"/>
              <w:bottom w:val="double" w:sz="4" w:space="0" w:color="4F81BD" w:themeColor="accent1"/>
              <w:right w:val="single" w:sz="4" w:space="0" w:color="FFFFFF" w:themeColor="background1"/>
            </w:tcBorders>
          </w:tcPr>
          <w:p w:rsidR="00522223" w:rsidRPr="00BB37FC" w:rsidRDefault="00522223" w:rsidP="00786F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Условие этапа</w:t>
            </w:r>
          </w:p>
        </w:tc>
        <w:tc>
          <w:tcPr>
            <w:cnfStyle w:val="000010000000" w:firstRow="0" w:lastRow="0" w:firstColumn="0" w:lastColumn="0" w:oddVBand="1" w:evenVBand="0" w:oddHBand="0" w:evenHBand="0" w:firstRowFirstColumn="0" w:firstRowLastColumn="0" w:lastRowFirstColumn="0" w:lastRowLastColumn="0"/>
            <w:tcW w:w="928" w:type="pct"/>
            <w:tcBorders>
              <w:left w:val="single" w:sz="4" w:space="0" w:color="FFFFFF" w:themeColor="background1"/>
              <w:bottom w:val="double" w:sz="4" w:space="0" w:color="4F81BD" w:themeColor="accent1"/>
              <w:right w:val="single" w:sz="4" w:space="0" w:color="FFFFFF" w:themeColor="background1"/>
            </w:tcBorders>
          </w:tcPr>
          <w:p w:rsidR="00522223" w:rsidRPr="00BB37FC" w:rsidRDefault="00522223" w:rsidP="00786FEA">
            <w:pPr>
              <w:jc w:val="center"/>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Содержание</w:t>
            </w:r>
          </w:p>
        </w:tc>
        <w:tc>
          <w:tcPr>
            <w:tcW w:w="672" w:type="pct"/>
            <w:tcBorders>
              <w:top w:val="single" w:sz="8" w:space="0" w:color="4F81BD" w:themeColor="accent1"/>
              <w:left w:val="single" w:sz="4" w:space="0" w:color="FFFFFF" w:themeColor="background1"/>
              <w:bottom w:val="double" w:sz="4" w:space="0" w:color="4F81BD" w:themeColor="accent1"/>
              <w:right w:val="single" w:sz="4" w:space="0" w:color="FFFFFF" w:themeColor="background1"/>
            </w:tcBorders>
          </w:tcPr>
          <w:p w:rsidR="00522223" w:rsidRPr="00BB37FC" w:rsidRDefault="00522223" w:rsidP="00786F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Форма предоставления</w:t>
            </w:r>
          </w:p>
        </w:tc>
        <w:tc>
          <w:tcPr>
            <w:cnfStyle w:val="000010000000" w:firstRow="0" w:lastRow="0" w:firstColumn="0" w:lastColumn="0" w:oddVBand="1" w:evenVBand="0" w:oddHBand="0" w:evenHBand="0" w:firstRowFirstColumn="0" w:firstRowLastColumn="0" w:lastRowFirstColumn="0" w:lastRowLastColumn="0"/>
            <w:tcW w:w="854" w:type="pct"/>
            <w:tcBorders>
              <w:left w:val="single" w:sz="4" w:space="0" w:color="FFFFFF" w:themeColor="background1"/>
              <w:bottom w:val="double" w:sz="4" w:space="0" w:color="4F81BD" w:themeColor="accent1"/>
              <w:right w:val="single" w:sz="4" w:space="0" w:color="FFFFFF" w:themeColor="background1"/>
            </w:tcBorders>
          </w:tcPr>
          <w:p w:rsidR="00522223" w:rsidRPr="00BB37FC" w:rsidRDefault="00522223" w:rsidP="00786FEA">
            <w:pPr>
              <w:jc w:val="center"/>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Срок исполнения</w:t>
            </w:r>
          </w:p>
        </w:tc>
        <w:tc>
          <w:tcPr>
            <w:tcW w:w="794" w:type="pct"/>
            <w:tcBorders>
              <w:top w:val="single" w:sz="8" w:space="0" w:color="4F81BD" w:themeColor="accent1"/>
              <w:left w:val="single" w:sz="4" w:space="0" w:color="FFFFFF" w:themeColor="background1"/>
              <w:bottom w:val="double" w:sz="4" w:space="0" w:color="4F81BD" w:themeColor="accent1"/>
            </w:tcBorders>
          </w:tcPr>
          <w:p w:rsidR="00522223" w:rsidRPr="00BB37FC" w:rsidRDefault="00522223" w:rsidP="00786FE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Ссылка на нормативно правовой акт</w:t>
            </w:r>
          </w:p>
        </w:tc>
      </w:tr>
      <w:tr w:rsidR="00522223" w:rsidRPr="00BB37FC" w:rsidTr="00786F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 w:type="pct"/>
            <w:tcBorders>
              <w:top w:val="double" w:sz="4" w:space="0" w:color="4F81BD" w:themeColor="accent1"/>
            </w:tcBorders>
          </w:tcPr>
          <w:p w:rsidR="00522223" w:rsidRPr="00BB37FC" w:rsidRDefault="00522223" w:rsidP="00786FEA">
            <w:pPr>
              <w:jc w:val="both"/>
              <w:rPr>
                <w:rFonts w:ascii="Times New Roman" w:eastAsia="Times New Roman" w:hAnsi="Times New Roman" w:cs="Times New Roman"/>
                <w:color w:val="548DD4" w:themeColor="text2" w:themeTint="99"/>
                <w:lang w:eastAsia="ru-RU"/>
              </w:rPr>
            </w:pPr>
            <w:r w:rsidRPr="00BB37FC">
              <w:rPr>
                <w:rFonts w:ascii="Times New Roman" w:eastAsia="Times New Roman" w:hAnsi="Times New Roman" w:cs="Times New Roman"/>
                <w:color w:val="548DD4" w:themeColor="text2" w:themeTint="99"/>
                <w:lang w:eastAsia="ru-RU"/>
              </w:rPr>
              <w:t>1</w:t>
            </w:r>
          </w:p>
        </w:tc>
        <w:tc>
          <w:tcPr>
            <w:cnfStyle w:val="000010000000" w:firstRow="0" w:lastRow="0" w:firstColumn="0" w:lastColumn="0" w:oddVBand="1" w:evenVBand="0" w:oddHBand="0" w:evenHBand="0" w:firstRowFirstColumn="0" w:firstRowLastColumn="0" w:lastRowFirstColumn="0" w:lastRowLastColumn="0"/>
            <w:tcW w:w="642" w:type="pct"/>
            <w:tcBorders>
              <w:top w:val="double" w:sz="4" w:space="0" w:color="4F81BD" w:themeColor="accent1"/>
            </w:tcBorders>
          </w:tcPr>
          <w:p w:rsidR="00522223" w:rsidRPr="00BB37FC" w:rsidRDefault="00522223" w:rsidP="00786FEA">
            <w:pPr>
              <w:jc w:val="both"/>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Снятие показаний приборов учета электрической энергии потребителем</w:t>
            </w:r>
          </w:p>
          <w:p w:rsidR="00522223" w:rsidRPr="00BB37FC" w:rsidRDefault="00522223" w:rsidP="00786FEA">
            <w:pPr>
              <w:autoSpaceDE w:val="0"/>
              <w:rPr>
                <w:rFonts w:ascii="Times New Roman" w:hAnsi="Times New Roman"/>
              </w:rPr>
            </w:pPr>
          </w:p>
        </w:tc>
        <w:tc>
          <w:tcPr>
            <w:tcW w:w="911" w:type="pct"/>
            <w:tcBorders>
              <w:top w:val="double" w:sz="4" w:space="0" w:color="4F81BD" w:themeColor="accent1"/>
            </w:tcBorders>
          </w:tcPr>
          <w:p w:rsidR="00522223" w:rsidRPr="00BB37FC" w:rsidRDefault="00522223" w:rsidP="00786FEA">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B37FC">
              <w:rPr>
                <w:rFonts w:ascii="Times New Roman" w:eastAsia="Times New Roman" w:hAnsi="Times New Roman" w:cs="Times New Roman"/>
                <w:lang w:eastAsia="ru-RU"/>
              </w:rPr>
              <w:t xml:space="preserve">Наличие заключенного с </w:t>
            </w:r>
            <w:r w:rsidRPr="00BB37FC">
              <w:rPr>
                <w:rFonts w:ascii="Times New Roman" w:hAnsi="Times New Roman" w:cs="Times New Roman"/>
                <w:sz w:val="24"/>
                <w:szCs w:val="24"/>
              </w:rPr>
              <w:t xml:space="preserve">сетевой организацией </w:t>
            </w:r>
            <w:r w:rsidRPr="00BB37FC">
              <w:rPr>
                <w:rFonts w:ascii="Times New Roman" w:eastAsia="Times New Roman" w:hAnsi="Times New Roman" w:cs="Times New Roman"/>
                <w:lang w:eastAsia="ru-RU"/>
              </w:rPr>
              <w:t>договора оказания услуг по передаче электрической энергии</w:t>
            </w:r>
          </w:p>
        </w:tc>
        <w:tc>
          <w:tcPr>
            <w:cnfStyle w:val="000010000000" w:firstRow="0" w:lastRow="0" w:firstColumn="0" w:lastColumn="0" w:oddVBand="1" w:evenVBand="0" w:oddHBand="0" w:evenHBand="0" w:firstRowFirstColumn="0" w:firstRowLastColumn="0" w:lastRowFirstColumn="0" w:lastRowLastColumn="0"/>
            <w:tcW w:w="928" w:type="pct"/>
            <w:tcBorders>
              <w:top w:val="double" w:sz="4" w:space="0" w:color="4F81BD" w:themeColor="accent1"/>
            </w:tcBorders>
          </w:tcPr>
          <w:p w:rsidR="00522223" w:rsidRPr="00BB37FC" w:rsidRDefault="00522223" w:rsidP="00786FEA">
            <w:pPr>
              <w:autoSpaceDE w:val="0"/>
              <w:snapToGrid w:val="0"/>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Осуществляется потребителем электрической энергии самостоятельно</w:t>
            </w:r>
          </w:p>
        </w:tc>
        <w:tc>
          <w:tcPr>
            <w:tcW w:w="672" w:type="pct"/>
            <w:tcBorders>
              <w:top w:val="double" w:sz="4" w:space="0" w:color="4F81BD" w:themeColor="accent1"/>
            </w:tcBorders>
          </w:tcPr>
          <w:p w:rsidR="00522223" w:rsidRPr="00BB37FC" w:rsidRDefault="00522223" w:rsidP="00786FEA">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Визуально (очно)</w:t>
            </w:r>
          </w:p>
        </w:tc>
        <w:tc>
          <w:tcPr>
            <w:cnfStyle w:val="000010000000" w:firstRow="0" w:lastRow="0" w:firstColumn="0" w:lastColumn="0" w:oddVBand="1" w:evenVBand="0" w:oddHBand="0" w:evenHBand="0" w:firstRowFirstColumn="0" w:firstRowLastColumn="0" w:lastRowFirstColumn="0" w:lastRowLastColumn="0"/>
            <w:tcW w:w="854" w:type="pct"/>
            <w:tcBorders>
              <w:top w:val="double" w:sz="4" w:space="0" w:color="4F81BD" w:themeColor="accent1"/>
            </w:tcBorders>
          </w:tcPr>
          <w:p w:rsidR="00522223" w:rsidRPr="00BB37FC" w:rsidRDefault="00522223" w:rsidP="00786FEA">
            <w:pPr>
              <w:autoSpaceDE w:val="0"/>
              <w:snapToGrid w:val="0"/>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 xml:space="preserve">00 часов 00 минут 1-го дня </w:t>
            </w:r>
            <w:proofErr w:type="gramStart"/>
            <w:r w:rsidRPr="00BB37FC">
              <w:rPr>
                <w:rFonts w:ascii="Times New Roman" w:eastAsia="Times New Roman" w:hAnsi="Times New Roman" w:cs="Times New Roman"/>
                <w:lang w:eastAsia="ru-RU"/>
              </w:rPr>
              <w:t>месяца</w:t>
            </w:r>
            <w:proofErr w:type="gramEnd"/>
            <w:r w:rsidRPr="00BB37FC">
              <w:rPr>
                <w:rFonts w:ascii="Times New Roman" w:eastAsia="Times New Roman" w:hAnsi="Times New Roman" w:cs="Times New Roman"/>
                <w:lang w:eastAsia="ru-RU"/>
              </w:rPr>
              <w:t xml:space="preserve"> следующего за расчетным - для всех потребителей, за исключением исполнителей коммунальных услуг. </w:t>
            </w:r>
          </w:p>
          <w:p w:rsidR="00522223" w:rsidRPr="00BB37FC" w:rsidRDefault="00522223" w:rsidP="00786FEA">
            <w:pPr>
              <w:autoSpaceDE w:val="0"/>
              <w:snapToGrid w:val="0"/>
              <w:rPr>
                <w:rFonts w:ascii="Times New Roman" w:eastAsia="Times New Roman" w:hAnsi="Times New Roman" w:cs="Times New Roman"/>
                <w:lang w:eastAsia="ru-RU"/>
              </w:rPr>
            </w:pPr>
          </w:p>
          <w:p w:rsidR="00522223" w:rsidRPr="00BB37FC" w:rsidRDefault="00522223" w:rsidP="00786FEA">
            <w:pPr>
              <w:autoSpaceDE w:val="0"/>
              <w:snapToGrid w:val="0"/>
              <w:rPr>
                <w:rFonts w:ascii="Times New Roman" w:hAnsi="Times New Roman" w:cs="Times New Roman"/>
              </w:rPr>
            </w:pPr>
            <w:r w:rsidRPr="00BB37FC">
              <w:rPr>
                <w:rFonts w:ascii="Times New Roman" w:eastAsia="Times New Roman" w:hAnsi="Times New Roman" w:cs="Times New Roman"/>
                <w:lang w:eastAsia="ru-RU"/>
              </w:rPr>
              <w:t>с 23 по 25 число расчетного месяца - для исполнителей коммунальных услуг</w:t>
            </w:r>
          </w:p>
        </w:tc>
        <w:tc>
          <w:tcPr>
            <w:tcW w:w="794" w:type="pct"/>
            <w:tcBorders>
              <w:top w:val="double" w:sz="4" w:space="0" w:color="4F81BD" w:themeColor="accent1"/>
            </w:tcBorders>
          </w:tcPr>
          <w:p w:rsidR="00522223" w:rsidRPr="00BB37FC" w:rsidRDefault="00522223" w:rsidP="00786FEA">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Пункт 161 Основ функционирования розничных рынков электрической энергии</w:t>
            </w:r>
            <w:r w:rsidRPr="00BB37FC">
              <w:rPr>
                <w:rStyle w:val="ae"/>
                <w:rFonts w:ascii="Times New Roman" w:eastAsia="Times New Roman" w:hAnsi="Times New Roman" w:cs="Times New Roman"/>
                <w:lang w:eastAsia="ru-RU"/>
              </w:rPr>
              <w:footnoteReference w:id="1"/>
            </w:r>
          </w:p>
          <w:p w:rsidR="00522223" w:rsidRPr="00BB37FC" w:rsidRDefault="00522223" w:rsidP="00786FEA">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snapToGri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Пункт 31(е)  Пра</w:t>
            </w:r>
            <w:r w:rsidRPr="00BB37FC">
              <w:rPr>
                <w:rFonts w:ascii="Times New Roman" w:hAnsi="Times New Roman" w:cs="Times New Roman"/>
              </w:rPr>
              <w:t>вил предоставления коммунальных услуг</w:t>
            </w:r>
            <w:r w:rsidRPr="00BB37FC">
              <w:rPr>
                <w:rStyle w:val="ae"/>
                <w:rFonts w:ascii="Times New Roman" w:hAnsi="Times New Roman" w:cs="Times New Roman"/>
              </w:rPr>
              <w:footnoteReference w:id="2"/>
            </w:r>
          </w:p>
        </w:tc>
      </w:tr>
      <w:tr w:rsidR="00522223" w:rsidRPr="00BB37FC" w:rsidTr="00786FEA">
        <w:trPr>
          <w:trHeight w:val="400"/>
        </w:trPr>
        <w:tc>
          <w:tcPr>
            <w:cnfStyle w:val="001000000000" w:firstRow="0" w:lastRow="0" w:firstColumn="1" w:lastColumn="0" w:oddVBand="0" w:evenVBand="0" w:oddHBand="0" w:evenHBand="0" w:firstRowFirstColumn="0" w:firstRowLastColumn="0" w:lastRowFirstColumn="0" w:lastRowLastColumn="0"/>
            <w:tcW w:w="199" w:type="pct"/>
          </w:tcPr>
          <w:p w:rsidR="00522223" w:rsidRPr="00BB37FC" w:rsidRDefault="00522223" w:rsidP="00786FEA">
            <w:pPr>
              <w:jc w:val="both"/>
              <w:rPr>
                <w:rFonts w:ascii="Times New Roman" w:eastAsia="Times New Roman" w:hAnsi="Times New Roman" w:cs="Times New Roman"/>
                <w:color w:val="548DD4" w:themeColor="text2" w:themeTint="99"/>
                <w:lang w:eastAsia="ru-RU"/>
              </w:rPr>
            </w:pPr>
            <w:r w:rsidRPr="00BB37FC">
              <w:rPr>
                <w:rFonts w:ascii="Times New Roman" w:eastAsia="Times New Roman" w:hAnsi="Times New Roman" w:cs="Times New Roman"/>
                <w:color w:val="548DD4" w:themeColor="text2" w:themeTint="99"/>
                <w:lang w:eastAsia="ru-RU"/>
              </w:rPr>
              <w:t>2</w:t>
            </w:r>
          </w:p>
        </w:tc>
        <w:tc>
          <w:tcPr>
            <w:cnfStyle w:val="000010000000" w:firstRow="0" w:lastRow="0" w:firstColumn="0" w:lastColumn="0" w:oddVBand="1" w:evenVBand="0" w:oddHBand="0" w:evenHBand="0" w:firstRowFirstColumn="0" w:firstRowLastColumn="0" w:lastRowFirstColumn="0" w:lastRowLastColumn="0"/>
            <w:tcW w:w="642" w:type="pct"/>
          </w:tcPr>
          <w:p w:rsidR="00522223" w:rsidRPr="00BB37FC" w:rsidRDefault="00522223" w:rsidP="00786FEA">
            <w:pPr>
              <w:jc w:val="both"/>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 xml:space="preserve">Прием показаний расчетных приборов учета </w:t>
            </w:r>
            <w:r w:rsidRPr="00BB37FC">
              <w:rPr>
                <w:rFonts w:ascii="Times New Roman" w:eastAsia="Times New Roman" w:hAnsi="Times New Roman" w:cs="Times New Roman"/>
                <w:lang w:eastAsia="ru-RU"/>
              </w:rPr>
              <w:lastRenderedPageBreak/>
              <w:t>от потребителя, в том числе используемых в качестве расчетных контрольных приборов учета</w:t>
            </w:r>
          </w:p>
        </w:tc>
        <w:tc>
          <w:tcPr>
            <w:tcW w:w="911" w:type="pct"/>
          </w:tcPr>
          <w:p w:rsidR="00522223" w:rsidRPr="00BB37FC" w:rsidRDefault="00522223" w:rsidP="00786FE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BB37FC">
              <w:rPr>
                <w:rFonts w:ascii="Times New Roman" w:eastAsia="Times New Roman" w:hAnsi="Times New Roman" w:cs="Times New Roman"/>
                <w:lang w:eastAsia="ru-RU"/>
              </w:rPr>
              <w:lastRenderedPageBreak/>
              <w:t xml:space="preserve">Наличие заключенного с </w:t>
            </w:r>
            <w:r w:rsidRPr="00BB37FC">
              <w:rPr>
                <w:rFonts w:ascii="Times New Roman" w:hAnsi="Times New Roman" w:cs="Times New Roman"/>
                <w:sz w:val="24"/>
                <w:szCs w:val="24"/>
              </w:rPr>
              <w:t xml:space="preserve">сетевой организацией </w:t>
            </w:r>
            <w:r w:rsidRPr="00BB37FC">
              <w:rPr>
                <w:rFonts w:ascii="Times New Roman" w:eastAsia="Times New Roman" w:hAnsi="Times New Roman" w:cs="Times New Roman"/>
                <w:lang w:eastAsia="ru-RU"/>
              </w:rPr>
              <w:t xml:space="preserve">договора оказания услуг </w:t>
            </w:r>
            <w:r w:rsidRPr="00BB37FC">
              <w:rPr>
                <w:rFonts w:ascii="Times New Roman" w:eastAsia="Times New Roman" w:hAnsi="Times New Roman" w:cs="Times New Roman"/>
                <w:lang w:eastAsia="ru-RU"/>
              </w:rPr>
              <w:lastRenderedPageBreak/>
              <w:t>по передаче электрической энергии</w:t>
            </w:r>
          </w:p>
        </w:tc>
        <w:tc>
          <w:tcPr>
            <w:cnfStyle w:val="000010000000" w:firstRow="0" w:lastRow="0" w:firstColumn="0" w:lastColumn="0" w:oddVBand="1" w:evenVBand="0" w:oddHBand="0" w:evenHBand="0" w:firstRowFirstColumn="0" w:firstRowLastColumn="0" w:lastRowFirstColumn="0" w:lastRowLastColumn="0"/>
            <w:tcW w:w="928" w:type="pct"/>
          </w:tcPr>
          <w:p w:rsidR="00522223" w:rsidRPr="00BB37FC" w:rsidRDefault="00522223" w:rsidP="00786FEA">
            <w:pPr>
              <w:jc w:val="both"/>
              <w:rPr>
                <w:rFonts w:ascii="Times New Roman" w:eastAsia="Times New Roman" w:hAnsi="Times New Roman" w:cs="Times New Roman"/>
                <w:lang w:eastAsia="ru-RU"/>
              </w:rPr>
            </w:pPr>
            <w:r w:rsidRPr="00BB37FC">
              <w:rPr>
                <w:rFonts w:ascii="Times New Roman" w:eastAsia="Times New Roman" w:hAnsi="Times New Roman" w:cs="Times New Roman"/>
                <w:lang w:eastAsia="ru-RU"/>
              </w:rPr>
              <w:lastRenderedPageBreak/>
              <w:t xml:space="preserve">Прием показаний расчетных приборов учета от потребителя, в том числе используемых </w:t>
            </w:r>
            <w:r w:rsidRPr="00BB37FC">
              <w:rPr>
                <w:rFonts w:ascii="Times New Roman" w:eastAsia="Times New Roman" w:hAnsi="Times New Roman" w:cs="Times New Roman"/>
                <w:lang w:eastAsia="ru-RU"/>
              </w:rPr>
              <w:lastRenderedPageBreak/>
              <w:t>в качестве расчетных контрольных приборов учета</w:t>
            </w:r>
          </w:p>
        </w:tc>
        <w:tc>
          <w:tcPr>
            <w:tcW w:w="672" w:type="pct"/>
          </w:tcPr>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lastRenderedPageBreak/>
              <w:t xml:space="preserve">Письменное уведомление, с использованием телефонной </w:t>
            </w:r>
            <w:r w:rsidRPr="00BB37FC">
              <w:rPr>
                <w:rFonts w:ascii="Times New Roman" w:hAnsi="Times New Roman" w:cs="Times New Roman"/>
              </w:rPr>
              <w:lastRenderedPageBreak/>
              <w:t>связи, электронной почты или иным способом, позволяющим подтвердить факт получения</w:t>
            </w: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854"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lastRenderedPageBreak/>
              <w:t xml:space="preserve">В соответствии с договором оказания услуг по передаче </w:t>
            </w:r>
            <w:r w:rsidRPr="00BB37FC">
              <w:rPr>
                <w:rFonts w:ascii="Times New Roman" w:hAnsi="Times New Roman" w:cs="Times New Roman"/>
              </w:rPr>
              <w:lastRenderedPageBreak/>
              <w:t>электрической энергии.</w:t>
            </w:r>
          </w:p>
          <w:p w:rsidR="00522223" w:rsidRPr="00BB37FC" w:rsidRDefault="00522223" w:rsidP="00786FEA">
            <w:pPr>
              <w:autoSpaceDE w:val="0"/>
              <w:autoSpaceDN w:val="0"/>
              <w:adjustRightInd w:val="0"/>
              <w:ind w:firstLine="540"/>
              <w:jc w:val="both"/>
              <w:rPr>
                <w:rFonts w:ascii="Times New Roman" w:hAnsi="Times New Roman" w:cs="Times New Roman"/>
              </w:rPr>
            </w:pPr>
          </w:p>
          <w:p w:rsidR="00522223" w:rsidRPr="00BB37FC" w:rsidRDefault="00522223" w:rsidP="00786FEA">
            <w:pPr>
              <w:jc w:val="both"/>
              <w:rPr>
                <w:rFonts w:ascii="Times New Roman" w:hAnsi="Times New Roman" w:cs="Times New Roman"/>
              </w:rPr>
            </w:pPr>
            <w:r w:rsidRPr="00BB37FC">
              <w:rPr>
                <w:rFonts w:ascii="Times New Roman" w:hAnsi="Times New Roman" w:cs="Times New Roman"/>
              </w:rPr>
              <w:t>Если время и дата снятия показаний расчетных приборов учета не установлены договором оказания услуг по передаче электрической энергии, то ежемесячно, до окончания 1-го дня месяца, следующего за расчетным периодом</w:t>
            </w:r>
          </w:p>
        </w:tc>
        <w:tc>
          <w:tcPr>
            <w:tcW w:w="794" w:type="pct"/>
          </w:tcPr>
          <w:p w:rsidR="00522223" w:rsidRPr="00BB37FC" w:rsidRDefault="00522223" w:rsidP="00786FE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r w:rsidRPr="00BB37FC">
              <w:rPr>
                <w:rFonts w:ascii="Times New Roman" w:eastAsia="Times New Roman" w:hAnsi="Times New Roman" w:cs="Times New Roman"/>
                <w:lang w:eastAsia="ru-RU"/>
              </w:rPr>
              <w:lastRenderedPageBreak/>
              <w:t xml:space="preserve">Пункты 161, 163 Основ функционирования розничных рынков </w:t>
            </w:r>
            <w:r w:rsidRPr="00BB37FC">
              <w:rPr>
                <w:rFonts w:ascii="Times New Roman" w:eastAsia="Times New Roman" w:hAnsi="Times New Roman" w:cs="Times New Roman"/>
                <w:lang w:eastAsia="ru-RU"/>
              </w:rPr>
              <w:lastRenderedPageBreak/>
              <w:t>электрической энергии</w:t>
            </w:r>
          </w:p>
        </w:tc>
      </w:tr>
      <w:tr w:rsidR="00522223" w:rsidRPr="00BB37FC" w:rsidTr="00786FEA">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9" w:type="pct"/>
          </w:tcPr>
          <w:p w:rsidR="00522223" w:rsidRPr="00BB37FC" w:rsidRDefault="00522223" w:rsidP="00786FEA">
            <w:pPr>
              <w:jc w:val="both"/>
              <w:rPr>
                <w:rFonts w:ascii="Times New Roman" w:eastAsia="Times New Roman" w:hAnsi="Times New Roman" w:cs="Times New Roman"/>
                <w:color w:val="548DD4" w:themeColor="text2" w:themeTint="99"/>
                <w:lang w:eastAsia="ru-RU"/>
              </w:rPr>
            </w:pPr>
            <w:r w:rsidRPr="00BB37FC">
              <w:rPr>
                <w:rFonts w:ascii="Times New Roman" w:eastAsia="Times New Roman" w:hAnsi="Times New Roman" w:cs="Times New Roman"/>
                <w:color w:val="548DD4" w:themeColor="text2" w:themeTint="99"/>
                <w:lang w:eastAsia="ru-RU"/>
              </w:rPr>
              <w:lastRenderedPageBreak/>
              <w:t>3</w:t>
            </w:r>
          </w:p>
        </w:tc>
        <w:tc>
          <w:tcPr>
            <w:cnfStyle w:val="000010000000" w:firstRow="0" w:lastRow="0" w:firstColumn="0" w:lastColumn="0" w:oddVBand="1" w:evenVBand="0" w:oddHBand="0" w:evenHBand="0" w:firstRowFirstColumn="0" w:firstRowLastColumn="0" w:lastRowFirstColumn="0" w:lastRowLastColumn="0"/>
            <w:tcW w:w="642" w:type="pct"/>
          </w:tcPr>
          <w:p w:rsidR="00522223" w:rsidRPr="00BB37FC" w:rsidRDefault="00522223" w:rsidP="00786FEA">
            <w:pPr>
              <w:autoSpaceDE w:val="0"/>
              <w:autoSpaceDN w:val="0"/>
              <w:adjustRightInd w:val="0"/>
              <w:jc w:val="both"/>
              <w:rPr>
                <w:rFonts w:ascii="Times New Roman" w:eastAsia="Times New Roman" w:hAnsi="Times New Roman" w:cs="Times New Roman"/>
                <w:lang w:eastAsia="ru-RU"/>
              </w:rPr>
            </w:pPr>
            <w:r w:rsidRPr="00BB37FC">
              <w:rPr>
                <w:rFonts w:ascii="Times New Roman" w:hAnsi="Times New Roman" w:cs="Times New Roman"/>
              </w:rPr>
              <w:t>Передача показаний расчетных приборов учета гарантирующему поставщику (</w:t>
            </w:r>
            <w:proofErr w:type="spellStart"/>
            <w:r w:rsidRPr="00BB37FC">
              <w:rPr>
                <w:rFonts w:ascii="Times New Roman" w:hAnsi="Times New Roman" w:cs="Times New Roman"/>
              </w:rPr>
              <w:t>энергосбытовой</w:t>
            </w:r>
            <w:proofErr w:type="spellEnd"/>
            <w:r w:rsidRPr="00BB37FC">
              <w:rPr>
                <w:rFonts w:ascii="Times New Roman" w:hAnsi="Times New Roman" w:cs="Times New Roman"/>
              </w:rPr>
              <w:t xml:space="preserve">, </w:t>
            </w:r>
            <w:proofErr w:type="spellStart"/>
            <w:r w:rsidRPr="00BB37FC">
              <w:rPr>
                <w:rFonts w:ascii="Times New Roman" w:hAnsi="Times New Roman" w:cs="Times New Roman"/>
              </w:rPr>
              <w:t>энергоснабжающей</w:t>
            </w:r>
            <w:proofErr w:type="spellEnd"/>
            <w:r w:rsidRPr="00BB37FC">
              <w:rPr>
                <w:rFonts w:ascii="Times New Roman" w:hAnsi="Times New Roman" w:cs="Times New Roman"/>
              </w:rPr>
              <w:t xml:space="preserve"> организации)</w:t>
            </w:r>
          </w:p>
        </w:tc>
        <w:tc>
          <w:tcPr>
            <w:tcW w:w="911"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Если условиями договора оказания услуг по передаче электрической энергии определено, что потребитель передает информацию о показаниях расчетных приборов учета только сетевой организации</w:t>
            </w:r>
          </w:p>
          <w:p w:rsidR="00522223" w:rsidRPr="00BB37FC" w:rsidRDefault="00522223" w:rsidP="00786FE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928" w:type="pct"/>
          </w:tcPr>
          <w:p w:rsidR="00522223" w:rsidRPr="00BB37FC" w:rsidRDefault="00522223" w:rsidP="00786FEA">
            <w:pPr>
              <w:autoSpaceDE w:val="0"/>
              <w:autoSpaceDN w:val="0"/>
              <w:adjustRightInd w:val="0"/>
              <w:jc w:val="both"/>
              <w:rPr>
                <w:rFonts w:ascii="Times New Roman" w:eastAsia="Times New Roman" w:hAnsi="Times New Roman" w:cs="Times New Roman"/>
                <w:lang w:eastAsia="ru-RU"/>
              </w:rPr>
            </w:pPr>
            <w:r w:rsidRPr="00BB37FC">
              <w:rPr>
                <w:rFonts w:ascii="Times New Roman" w:hAnsi="Times New Roman" w:cs="Times New Roman"/>
              </w:rPr>
              <w:t>Передача показаний расчетных приборов учета гарантирующему поставщику (</w:t>
            </w:r>
            <w:proofErr w:type="spellStart"/>
            <w:r w:rsidRPr="00BB37FC">
              <w:rPr>
                <w:rFonts w:ascii="Times New Roman" w:hAnsi="Times New Roman" w:cs="Times New Roman"/>
              </w:rPr>
              <w:t>энергосбытовой</w:t>
            </w:r>
            <w:proofErr w:type="spellEnd"/>
            <w:r w:rsidRPr="00BB37FC">
              <w:rPr>
                <w:rFonts w:ascii="Times New Roman" w:hAnsi="Times New Roman" w:cs="Times New Roman"/>
              </w:rPr>
              <w:t xml:space="preserve">, </w:t>
            </w:r>
            <w:proofErr w:type="spellStart"/>
            <w:r w:rsidRPr="00BB37FC">
              <w:rPr>
                <w:rFonts w:ascii="Times New Roman" w:hAnsi="Times New Roman" w:cs="Times New Roman"/>
              </w:rPr>
              <w:t>энергоснабжающей</w:t>
            </w:r>
            <w:proofErr w:type="spellEnd"/>
            <w:r w:rsidRPr="00BB37FC">
              <w:rPr>
                <w:rFonts w:ascii="Times New Roman" w:hAnsi="Times New Roman" w:cs="Times New Roman"/>
              </w:rPr>
              <w:t xml:space="preserve"> организации)</w:t>
            </w:r>
          </w:p>
        </w:tc>
        <w:tc>
          <w:tcPr>
            <w:tcW w:w="672"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Письменное уведомление (реестр) заказным письмом, факсом или иным другим способом, позволяющим определить дату и время передачи уведомления</w:t>
            </w:r>
          </w:p>
        </w:tc>
        <w:tc>
          <w:tcPr>
            <w:cnfStyle w:val="000010000000" w:firstRow="0" w:lastRow="0" w:firstColumn="0" w:lastColumn="0" w:oddVBand="1" w:evenVBand="0" w:oddHBand="0" w:evenHBand="0" w:firstRowFirstColumn="0" w:firstRowLastColumn="0" w:lastRowFirstColumn="0" w:lastRowLastColumn="0"/>
            <w:tcW w:w="854" w:type="pct"/>
          </w:tcPr>
          <w:p w:rsidR="00522223" w:rsidRPr="00BB37FC" w:rsidRDefault="00522223" w:rsidP="00786FEA">
            <w:pPr>
              <w:autoSpaceDE w:val="0"/>
              <w:autoSpaceDN w:val="0"/>
              <w:adjustRightInd w:val="0"/>
              <w:jc w:val="both"/>
              <w:rPr>
                <w:rFonts w:ascii="Times New Roman" w:eastAsia="Times New Roman" w:hAnsi="Times New Roman" w:cs="Times New Roman"/>
                <w:lang w:eastAsia="ru-RU"/>
              </w:rPr>
            </w:pPr>
            <w:r w:rsidRPr="00BB37FC">
              <w:rPr>
                <w:rFonts w:ascii="Times New Roman" w:hAnsi="Times New Roman" w:cs="Times New Roman"/>
              </w:rPr>
              <w:t>До окончания 2-го числа месяца, следующего за расчетным периодом</w:t>
            </w:r>
          </w:p>
        </w:tc>
        <w:tc>
          <w:tcPr>
            <w:tcW w:w="794" w:type="pct"/>
          </w:tcPr>
          <w:p w:rsidR="00522223" w:rsidRPr="00BB37FC" w:rsidRDefault="00522223" w:rsidP="00786FE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BB37FC">
              <w:rPr>
                <w:rFonts w:ascii="Times New Roman" w:eastAsia="Times New Roman" w:hAnsi="Times New Roman" w:cs="Times New Roman"/>
                <w:lang w:eastAsia="ru-RU"/>
              </w:rPr>
              <w:t>Пункт 163 Основ функционирования розничных рынков электрической энергии</w:t>
            </w:r>
          </w:p>
        </w:tc>
      </w:tr>
      <w:tr w:rsidR="00522223" w:rsidRPr="00BB37FC" w:rsidTr="00786FEA">
        <w:trPr>
          <w:trHeight w:val="400"/>
        </w:trPr>
        <w:tc>
          <w:tcPr>
            <w:cnfStyle w:val="001000000000" w:firstRow="0" w:lastRow="0" w:firstColumn="1" w:lastColumn="0" w:oddVBand="0" w:evenVBand="0" w:oddHBand="0" w:evenHBand="0" w:firstRowFirstColumn="0" w:firstRowLastColumn="0" w:lastRowFirstColumn="0" w:lastRowLastColumn="0"/>
            <w:tcW w:w="199" w:type="pct"/>
          </w:tcPr>
          <w:p w:rsidR="00522223" w:rsidRPr="00BB37FC" w:rsidRDefault="00522223" w:rsidP="00786FEA">
            <w:pPr>
              <w:jc w:val="both"/>
              <w:rPr>
                <w:rFonts w:ascii="Times New Roman" w:eastAsia="Times New Roman" w:hAnsi="Times New Roman" w:cs="Times New Roman"/>
                <w:color w:val="548DD4" w:themeColor="text2" w:themeTint="99"/>
                <w:lang w:eastAsia="ru-RU"/>
              </w:rPr>
            </w:pPr>
            <w:r w:rsidRPr="00BB37FC">
              <w:rPr>
                <w:rFonts w:ascii="Times New Roman" w:eastAsia="Times New Roman" w:hAnsi="Times New Roman" w:cs="Times New Roman"/>
                <w:color w:val="548DD4" w:themeColor="text2" w:themeTint="99"/>
                <w:lang w:eastAsia="ru-RU"/>
              </w:rPr>
              <w:t>4</w:t>
            </w:r>
          </w:p>
        </w:tc>
        <w:tc>
          <w:tcPr>
            <w:cnfStyle w:val="000010000000" w:firstRow="0" w:lastRow="0" w:firstColumn="0" w:lastColumn="0" w:oddVBand="1" w:evenVBand="0" w:oddHBand="0" w:evenHBand="0" w:firstRowFirstColumn="0" w:firstRowLastColumn="0" w:lastRowFirstColumn="0" w:lastRowLastColumn="0"/>
            <w:tcW w:w="642"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Определение переданной электрической энергии потребителю:</w:t>
            </w:r>
          </w:p>
        </w:tc>
        <w:tc>
          <w:tcPr>
            <w:tcW w:w="911" w:type="pct"/>
          </w:tcPr>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28" w:type="pct"/>
          </w:tcPr>
          <w:p w:rsidR="00522223" w:rsidRPr="00BB37FC" w:rsidRDefault="00522223" w:rsidP="00786FEA">
            <w:pPr>
              <w:autoSpaceDE w:val="0"/>
              <w:autoSpaceDN w:val="0"/>
              <w:adjustRightInd w:val="0"/>
              <w:jc w:val="both"/>
              <w:rPr>
                <w:rFonts w:ascii="Times New Roman" w:hAnsi="Times New Roman" w:cs="Times New Roman"/>
              </w:rPr>
            </w:pPr>
          </w:p>
        </w:tc>
        <w:tc>
          <w:tcPr>
            <w:tcW w:w="672" w:type="pct"/>
          </w:tcPr>
          <w:p w:rsidR="00522223" w:rsidRPr="00BB37FC" w:rsidRDefault="00522223" w:rsidP="00786FEA">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tc>
        <w:tc>
          <w:tcPr>
            <w:cnfStyle w:val="000010000000" w:firstRow="0" w:lastRow="0" w:firstColumn="0" w:lastColumn="0" w:oddVBand="1" w:evenVBand="0" w:oddHBand="0" w:evenHBand="0" w:firstRowFirstColumn="0" w:firstRowLastColumn="0" w:lastRowFirstColumn="0" w:lastRowLastColumn="0"/>
            <w:tcW w:w="854" w:type="pct"/>
          </w:tcPr>
          <w:p w:rsidR="00522223" w:rsidRPr="00BB37FC" w:rsidRDefault="00522223" w:rsidP="00786FEA">
            <w:pPr>
              <w:autoSpaceDE w:val="0"/>
              <w:autoSpaceDN w:val="0"/>
              <w:adjustRightInd w:val="0"/>
              <w:jc w:val="both"/>
              <w:rPr>
                <w:rFonts w:ascii="Times New Roman" w:hAnsi="Times New Roman" w:cs="Times New Roman"/>
              </w:rPr>
            </w:pPr>
          </w:p>
        </w:tc>
        <w:tc>
          <w:tcPr>
            <w:tcW w:w="794" w:type="pct"/>
          </w:tcPr>
          <w:p w:rsidR="00522223" w:rsidRPr="00BB37FC" w:rsidRDefault="00522223" w:rsidP="00786F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22223" w:rsidRPr="00BB37FC" w:rsidTr="00786FEA">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9" w:type="pct"/>
          </w:tcPr>
          <w:p w:rsidR="00522223" w:rsidRPr="00BB37FC" w:rsidRDefault="00522223" w:rsidP="00786FEA">
            <w:pPr>
              <w:jc w:val="both"/>
              <w:rPr>
                <w:rFonts w:ascii="Times New Roman" w:hAnsi="Times New Roman" w:cs="Times New Roman"/>
              </w:rPr>
            </w:pPr>
            <w:r w:rsidRPr="00BB37FC">
              <w:rPr>
                <w:rFonts w:ascii="Times New Roman" w:eastAsia="Times New Roman" w:hAnsi="Times New Roman" w:cs="Times New Roman"/>
                <w:color w:val="548DD4" w:themeColor="text2" w:themeTint="99"/>
                <w:lang w:eastAsia="ru-RU"/>
              </w:rPr>
              <w:t>4.1</w:t>
            </w:r>
          </w:p>
        </w:tc>
        <w:tc>
          <w:tcPr>
            <w:cnfStyle w:val="000010000000" w:firstRow="0" w:lastRow="0" w:firstColumn="0" w:lastColumn="0" w:oddVBand="1" w:evenVBand="0" w:oddHBand="0" w:evenHBand="0" w:firstRowFirstColumn="0" w:firstRowLastColumn="0" w:lastRowFirstColumn="0" w:lastRowLastColumn="0"/>
            <w:tcW w:w="642"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Определение объемов переданной </w:t>
            </w:r>
            <w:r w:rsidRPr="00BB37FC">
              <w:rPr>
                <w:rFonts w:ascii="Times New Roman" w:hAnsi="Times New Roman" w:cs="Times New Roman"/>
              </w:rPr>
              <w:lastRenderedPageBreak/>
              <w:t>электрической энергии по показаниям расчетных приборов учета электрической энергии</w:t>
            </w:r>
          </w:p>
        </w:tc>
        <w:tc>
          <w:tcPr>
            <w:tcW w:w="911"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lastRenderedPageBreak/>
              <w:t xml:space="preserve">Потребителем своевременно представлены показания </w:t>
            </w:r>
            <w:r w:rsidRPr="00BB37FC">
              <w:rPr>
                <w:rFonts w:ascii="Times New Roman" w:hAnsi="Times New Roman" w:cs="Times New Roman"/>
              </w:rPr>
              <w:lastRenderedPageBreak/>
              <w:t>приборов учета, или  получены данные с АИИС КУЭ</w:t>
            </w:r>
          </w:p>
        </w:tc>
        <w:tc>
          <w:tcPr>
            <w:cnfStyle w:val="000010000000" w:firstRow="0" w:lastRow="0" w:firstColumn="0" w:lastColumn="0" w:oddVBand="1" w:evenVBand="0" w:oddHBand="0" w:evenHBand="0" w:firstRowFirstColumn="0" w:firstRowLastColumn="0" w:lastRowFirstColumn="0" w:lastRowLastColumn="0"/>
            <w:tcW w:w="928"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lastRenderedPageBreak/>
              <w:t xml:space="preserve">Расчет объемов переданной  электроэнергии на </w:t>
            </w:r>
            <w:r w:rsidRPr="00BB37FC">
              <w:rPr>
                <w:rFonts w:ascii="Times New Roman" w:hAnsi="Times New Roman" w:cs="Times New Roman"/>
              </w:rPr>
              <w:lastRenderedPageBreak/>
              <w:t>основании переданных потребителем показаний или данных, полученных с АИИС КУЭ</w:t>
            </w:r>
          </w:p>
        </w:tc>
        <w:tc>
          <w:tcPr>
            <w:tcW w:w="672" w:type="pct"/>
          </w:tcPr>
          <w:p w:rsidR="00522223" w:rsidRPr="00BB37FC" w:rsidRDefault="00522223" w:rsidP="00786FEA">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BB37FC">
              <w:rPr>
                <w:rFonts w:ascii="Times New Roman" w:hAnsi="Times New Roman" w:cs="Times New Roman"/>
              </w:rPr>
              <w:lastRenderedPageBreak/>
              <w:t xml:space="preserve">Письменно, с использованием </w:t>
            </w:r>
            <w:r w:rsidRPr="00BB37FC">
              <w:rPr>
                <w:rFonts w:ascii="Times New Roman" w:hAnsi="Times New Roman" w:cs="Times New Roman"/>
              </w:rPr>
              <w:lastRenderedPageBreak/>
              <w:t>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54"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lastRenderedPageBreak/>
              <w:t>до 10-го числа месяца, следующего за расчётным периодом</w:t>
            </w:r>
          </w:p>
        </w:tc>
        <w:tc>
          <w:tcPr>
            <w:tcW w:w="794" w:type="pct"/>
          </w:tcPr>
          <w:p w:rsidR="00522223" w:rsidRPr="00BB37FC" w:rsidRDefault="00522223" w:rsidP="00786FE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 xml:space="preserve">Пункт 189 Основ функционирования розничных рынков </w:t>
            </w:r>
            <w:r w:rsidRPr="00BB37FC">
              <w:rPr>
                <w:rFonts w:ascii="Times New Roman" w:hAnsi="Times New Roman" w:cs="Times New Roman"/>
              </w:rPr>
              <w:lastRenderedPageBreak/>
              <w:t>электрической энергии</w:t>
            </w:r>
          </w:p>
        </w:tc>
      </w:tr>
      <w:tr w:rsidR="00522223" w:rsidRPr="00BB37FC" w:rsidTr="00786FEA">
        <w:trPr>
          <w:trHeight w:val="400"/>
        </w:trPr>
        <w:tc>
          <w:tcPr>
            <w:cnfStyle w:val="001000000000" w:firstRow="0" w:lastRow="0" w:firstColumn="1" w:lastColumn="0" w:oddVBand="0" w:evenVBand="0" w:oddHBand="0" w:evenHBand="0" w:firstRowFirstColumn="0" w:firstRowLastColumn="0" w:lastRowFirstColumn="0" w:lastRowLastColumn="0"/>
            <w:tcW w:w="199" w:type="pct"/>
          </w:tcPr>
          <w:p w:rsidR="00522223" w:rsidRPr="00BB37FC" w:rsidRDefault="00522223" w:rsidP="00786FEA">
            <w:pPr>
              <w:jc w:val="both"/>
              <w:rPr>
                <w:rFonts w:ascii="Times New Roman" w:eastAsia="Times New Roman" w:hAnsi="Times New Roman" w:cs="Times New Roman"/>
                <w:color w:val="548DD4" w:themeColor="text2" w:themeTint="99"/>
                <w:lang w:eastAsia="ru-RU"/>
              </w:rPr>
            </w:pPr>
            <w:r w:rsidRPr="00BB37FC">
              <w:rPr>
                <w:rFonts w:ascii="Times New Roman" w:eastAsia="Times New Roman" w:hAnsi="Times New Roman" w:cs="Times New Roman"/>
                <w:color w:val="548DD4" w:themeColor="text2" w:themeTint="99"/>
                <w:lang w:eastAsia="ru-RU"/>
              </w:rPr>
              <w:lastRenderedPageBreak/>
              <w:t>4.2</w:t>
            </w:r>
          </w:p>
        </w:tc>
        <w:tc>
          <w:tcPr>
            <w:cnfStyle w:val="000010000000" w:firstRow="0" w:lastRow="0" w:firstColumn="0" w:lastColumn="0" w:oddVBand="1" w:evenVBand="0" w:oddHBand="0" w:evenHBand="0" w:firstRowFirstColumn="0" w:firstRowLastColumn="0" w:lastRowFirstColumn="0" w:lastRowLastColumn="0"/>
            <w:tcW w:w="642"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Определение объемов переданной электрической энергии потребителю по показаниям контрольных приборов учета электроэнергии </w:t>
            </w:r>
          </w:p>
        </w:tc>
        <w:tc>
          <w:tcPr>
            <w:tcW w:w="911" w:type="pct"/>
          </w:tcPr>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Отсутствие показаний расчетных </w:t>
            </w:r>
            <w:r w:rsidRPr="00BB37FC">
              <w:rPr>
                <w:rFonts w:ascii="Times New Roman" w:hAnsi="Times New Roman" w:cs="Times New Roman"/>
              </w:rPr>
              <w:t>приборов учета электрической энергии у сетевой организации после 2 числа месяца, следующего за расчетным и наличие контрольного прибора учета электроэнергии с возможностью доступа персонала сетевой организации для снятия показаний</w:t>
            </w:r>
          </w:p>
        </w:tc>
        <w:tc>
          <w:tcPr>
            <w:cnfStyle w:val="000010000000" w:firstRow="0" w:lastRow="0" w:firstColumn="0" w:lastColumn="0" w:oddVBand="1" w:evenVBand="0" w:oddHBand="0" w:evenHBand="0" w:firstRowFirstColumn="0" w:firstRowLastColumn="0" w:lastRowFirstColumn="0" w:lastRowLastColumn="0"/>
            <w:tcW w:w="928"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Определение объемов переданной электрической энергии потребителю за расчетный период по показаниям контрольных счетчиков на начало и конец месяца с учетом коэффициентов трансформации трансформаторов тока и напряжения (при наличии), а так же исключением объемов электропотребления опосредованно присоединенных потребителей</w:t>
            </w:r>
          </w:p>
        </w:tc>
        <w:tc>
          <w:tcPr>
            <w:tcW w:w="672" w:type="pct"/>
          </w:tcPr>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54"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до 10 числа месяца следующего за расчетным</w:t>
            </w:r>
          </w:p>
        </w:tc>
        <w:tc>
          <w:tcPr>
            <w:tcW w:w="794" w:type="pct"/>
          </w:tcPr>
          <w:p w:rsidR="00522223" w:rsidRPr="00BB37FC" w:rsidRDefault="00522223" w:rsidP="00786FE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Пункты 189, 166 Основ функционирования розничных рынков электрической энергии</w:t>
            </w:r>
          </w:p>
        </w:tc>
      </w:tr>
      <w:tr w:rsidR="00522223" w:rsidRPr="00BB37FC" w:rsidTr="00786FEA">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9" w:type="pct"/>
          </w:tcPr>
          <w:p w:rsidR="00522223" w:rsidRPr="00BB37FC" w:rsidRDefault="00522223" w:rsidP="00786FEA">
            <w:pPr>
              <w:jc w:val="both"/>
              <w:rPr>
                <w:rFonts w:ascii="Times New Roman" w:eastAsia="Times New Roman" w:hAnsi="Times New Roman" w:cs="Times New Roman"/>
                <w:color w:val="548DD4" w:themeColor="text2" w:themeTint="99"/>
                <w:lang w:eastAsia="ru-RU"/>
              </w:rPr>
            </w:pPr>
            <w:r w:rsidRPr="00BB37FC">
              <w:rPr>
                <w:rFonts w:ascii="Times New Roman" w:eastAsia="Times New Roman" w:hAnsi="Times New Roman" w:cs="Times New Roman"/>
                <w:color w:val="548DD4" w:themeColor="text2" w:themeTint="99"/>
                <w:lang w:eastAsia="ru-RU"/>
              </w:rPr>
              <w:t>4.3</w:t>
            </w:r>
          </w:p>
        </w:tc>
        <w:tc>
          <w:tcPr>
            <w:cnfStyle w:val="000010000000" w:firstRow="0" w:lastRow="0" w:firstColumn="0" w:lastColumn="0" w:oddVBand="1" w:evenVBand="0" w:oddHBand="0" w:evenHBand="0" w:firstRowFirstColumn="0" w:firstRowLastColumn="0" w:lastRowFirstColumn="0" w:lastRowLastColumn="0"/>
            <w:tcW w:w="642"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Определение объемов переданной электрической энергии потребителю расчетным способом</w:t>
            </w:r>
          </w:p>
        </w:tc>
        <w:tc>
          <w:tcPr>
            <w:tcW w:w="911"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Не предоставление показаний расчетных и контрольных приборов учета электрической энергии в адрес сетевой организации после 2 числа месяца, следующего за расчетным:</w:t>
            </w: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-юридическими лицами (за исключением исполнителей коммунальных услуг) в течение 1-го и 2-го расчетных периодов подряд;</w:t>
            </w: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 физическими лицами и исполнителями коммунальных услуг  в течение 6-ти периодов подряд</w:t>
            </w:r>
          </w:p>
        </w:tc>
        <w:tc>
          <w:tcPr>
            <w:cnfStyle w:val="000010000000" w:firstRow="0" w:lastRow="0" w:firstColumn="0" w:lastColumn="0" w:oddVBand="1" w:evenVBand="0" w:oddHBand="0" w:evenHBand="0" w:firstRowFirstColumn="0" w:firstRowLastColumn="0" w:lastRowFirstColumn="0" w:lastRowLastColumn="0"/>
            <w:tcW w:w="928"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lastRenderedPageBreak/>
              <w:t>Определение объемов переданной электрической энергии потребителю в отсутствие показаний счетчиков осуществляется:</w:t>
            </w:r>
          </w:p>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1. Для потребителей юридических лиц, за </w:t>
            </w:r>
            <w:r w:rsidRPr="00BB37FC">
              <w:rPr>
                <w:rFonts w:ascii="Times New Roman" w:hAnsi="Times New Roman" w:cs="Times New Roman"/>
              </w:rPr>
              <w:lastRenderedPageBreak/>
              <w:t>исключением исполнителей коммунальных услуг, за 1-ый и 2-ой расчетные периоды подряд исходя из показаний расчетного прибора учета электроэнергии за аналогичный период предыдущего года, а в случае отсутствия данных за аналогичный период предыдущего года — на основании показаний расчетного прибора учета за ближайший расчетный период, когда такие показания были предоставлены;</w:t>
            </w:r>
          </w:p>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2. Для исполнителей коммунальных услуг и физических лиц не более 3 расчетных периодов подряд исходя из рассчитанного среднемесячного объема потребления электроэнергии по показаниям расчетных приборов учета за период не менее 6 месяцев, а если период работы прибора учета составил </w:t>
            </w:r>
            <w:r w:rsidRPr="00BB37FC">
              <w:rPr>
                <w:rFonts w:ascii="Times New Roman" w:hAnsi="Times New Roman" w:cs="Times New Roman"/>
              </w:rPr>
              <w:lastRenderedPageBreak/>
              <w:t>меньше 6 месяцев, то за фактический период работы прибора учета, но не менее 3 месяцев. Если период работы прибора учета составил  меньше 3 месяцев, то исходя из нормативов потребления электрической энергии.</w:t>
            </w:r>
          </w:p>
        </w:tc>
        <w:tc>
          <w:tcPr>
            <w:tcW w:w="672"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eastAsia="ru-RU"/>
              </w:rPr>
            </w:pPr>
            <w:r w:rsidRPr="00BB37FC">
              <w:rPr>
                <w:rFonts w:ascii="Times New Roman" w:hAnsi="Times New Roman" w:cs="Times New Roman"/>
              </w:rPr>
              <w:lastRenderedPageBreak/>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54"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 до 10 числа </w:t>
            </w:r>
            <w:proofErr w:type="gramStart"/>
            <w:r w:rsidRPr="00BB37FC">
              <w:rPr>
                <w:rFonts w:ascii="Times New Roman" w:hAnsi="Times New Roman" w:cs="Times New Roman"/>
              </w:rPr>
              <w:t>месяца</w:t>
            </w:r>
            <w:proofErr w:type="gramEnd"/>
            <w:r w:rsidRPr="00BB37FC">
              <w:rPr>
                <w:rFonts w:ascii="Times New Roman" w:hAnsi="Times New Roman" w:cs="Times New Roman"/>
              </w:rPr>
              <w:t xml:space="preserve"> следующего за расчетным</w:t>
            </w:r>
          </w:p>
          <w:p w:rsidR="00522223" w:rsidRPr="00BB37FC" w:rsidRDefault="00522223" w:rsidP="00786FEA">
            <w:pPr>
              <w:autoSpaceDE w:val="0"/>
              <w:autoSpaceDN w:val="0"/>
              <w:adjustRightInd w:val="0"/>
              <w:jc w:val="both"/>
              <w:rPr>
                <w:rFonts w:ascii="Times New Roman" w:hAnsi="Times New Roman" w:cs="Times New Roman"/>
              </w:rPr>
            </w:pPr>
          </w:p>
          <w:p w:rsidR="00522223" w:rsidRPr="00BB37FC" w:rsidRDefault="00522223" w:rsidP="00786FEA">
            <w:pPr>
              <w:autoSpaceDE w:val="0"/>
              <w:autoSpaceDN w:val="0"/>
              <w:adjustRightInd w:val="0"/>
              <w:jc w:val="both"/>
              <w:rPr>
                <w:rFonts w:ascii="Times New Roman" w:hAnsi="Times New Roman" w:cs="Times New Roman"/>
              </w:rPr>
            </w:pPr>
          </w:p>
          <w:p w:rsidR="00522223" w:rsidRPr="00BB37FC" w:rsidRDefault="00522223" w:rsidP="00786FEA">
            <w:pPr>
              <w:autoSpaceDE w:val="0"/>
              <w:autoSpaceDN w:val="0"/>
              <w:adjustRightInd w:val="0"/>
              <w:jc w:val="both"/>
              <w:rPr>
                <w:rFonts w:ascii="Times New Roman" w:hAnsi="Times New Roman" w:cs="Times New Roman"/>
              </w:rPr>
            </w:pPr>
          </w:p>
          <w:p w:rsidR="00522223" w:rsidRPr="00BB37FC" w:rsidRDefault="00522223" w:rsidP="00786FEA">
            <w:pPr>
              <w:autoSpaceDE w:val="0"/>
              <w:autoSpaceDN w:val="0"/>
              <w:adjustRightInd w:val="0"/>
              <w:jc w:val="both"/>
              <w:rPr>
                <w:rFonts w:ascii="Times New Roman" w:hAnsi="Times New Roman" w:cs="Times New Roman"/>
              </w:rPr>
            </w:pPr>
          </w:p>
        </w:tc>
        <w:tc>
          <w:tcPr>
            <w:tcW w:w="794"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Пункты 189, 166 Основ функционирования розничных рынков электрической энергии</w:t>
            </w: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eastAsia="Times New Roman" w:hAnsi="Times New Roman" w:cs="Times New Roman"/>
                <w:lang w:eastAsia="ru-RU"/>
              </w:rPr>
              <w:t>Пункт 59 Пра</w:t>
            </w:r>
            <w:r w:rsidRPr="00BB37FC">
              <w:rPr>
                <w:rFonts w:ascii="Times New Roman" w:hAnsi="Times New Roman" w:cs="Times New Roman"/>
              </w:rPr>
              <w:t>вил предоставления коммунальных услуг</w:t>
            </w:r>
          </w:p>
        </w:tc>
      </w:tr>
      <w:tr w:rsidR="00522223" w:rsidRPr="00BB37FC" w:rsidTr="00786FEA">
        <w:trPr>
          <w:trHeight w:val="400"/>
        </w:trPr>
        <w:tc>
          <w:tcPr>
            <w:cnfStyle w:val="001000000000" w:firstRow="0" w:lastRow="0" w:firstColumn="1" w:lastColumn="0" w:oddVBand="0" w:evenVBand="0" w:oddHBand="0" w:evenHBand="0" w:firstRowFirstColumn="0" w:firstRowLastColumn="0" w:lastRowFirstColumn="0" w:lastRowLastColumn="0"/>
            <w:tcW w:w="199" w:type="pct"/>
          </w:tcPr>
          <w:p w:rsidR="00522223" w:rsidRPr="00BB37FC" w:rsidRDefault="00522223" w:rsidP="00786FEA">
            <w:pPr>
              <w:jc w:val="both"/>
              <w:rPr>
                <w:rFonts w:ascii="Times New Roman" w:eastAsia="Times New Roman" w:hAnsi="Times New Roman" w:cs="Times New Roman"/>
                <w:color w:val="548DD4" w:themeColor="text2" w:themeTint="99"/>
                <w:lang w:eastAsia="ru-RU"/>
              </w:rPr>
            </w:pPr>
            <w:r w:rsidRPr="00BB37FC">
              <w:rPr>
                <w:rFonts w:ascii="Times New Roman" w:eastAsia="Times New Roman" w:hAnsi="Times New Roman" w:cs="Times New Roman"/>
                <w:color w:val="548DD4" w:themeColor="text2" w:themeTint="99"/>
                <w:lang w:eastAsia="ru-RU"/>
              </w:rPr>
              <w:lastRenderedPageBreak/>
              <w:t>4.4</w:t>
            </w:r>
          </w:p>
        </w:tc>
        <w:tc>
          <w:tcPr>
            <w:cnfStyle w:val="000010000000" w:firstRow="0" w:lastRow="0" w:firstColumn="0" w:lastColumn="0" w:oddVBand="1" w:evenVBand="0" w:oddHBand="0" w:evenHBand="0" w:firstRowFirstColumn="0" w:firstRowLastColumn="0" w:lastRowFirstColumn="0" w:lastRowLastColumn="0"/>
            <w:tcW w:w="642"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Определение объемов переданной электрической энергии потребителю расчетным способом </w:t>
            </w:r>
          </w:p>
          <w:p w:rsidR="00522223" w:rsidRPr="00BB37FC" w:rsidRDefault="00522223" w:rsidP="00786FEA">
            <w:pPr>
              <w:autoSpaceDE w:val="0"/>
              <w:autoSpaceDN w:val="0"/>
              <w:adjustRightInd w:val="0"/>
              <w:jc w:val="both"/>
              <w:rPr>
                <w:rFonts w:ascii="Times New Roman" w:hAnsi="Times New Roman" w:cs="Times New Roman"/>
              </w:rPr>
            </w:pPr>
          </w:p>
        </w:tc>
        <w:tc>
          <w:tcPr>
            <w:tcW w:w="911" w:type="pct"/>
          </w:tcPr>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 xml:space="preserve">Не предоставление показаний расчетных и контрольных приборов учета электрической энергии в адрес </w:t>
            </w:r>
            <w:r>
              <w:rPr>
                <w:rFonts w:ascii="Times New Roman" w:hAnsi="Times New Roman" w:cs="Times New Roman"/>
              </w:rPr>
              <w:t>сетевой организации</w:t>
            </w:r>
            <w:r w:rsidRPr="00BB37FC">
              <w:rPr>
                <w:rFonts w:ascii="Times New Roman" w:hAnsi="Times New Roman" w:cs="Times New Roman"/>
              </w:rPr>
              <w:t xml:space="preserve"> после 2 числа месяца, следующего за расчетным:</w:t>
            </w: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 юридическими лицами (за исключением исполнителей коммунальных услуг) более 2-х расчетных периодов подряд;</w:t>
            </w: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 xml:space="preserve">- физическими лицами и исполнителями коммунальных услуг  более 3-х периодов подряд </w:t>
            </w:r>
          </w:p>
        </w:tc>
        <w:tc>
          <w:tcPr>
            <w:cnfStyle w:val="000010000000" w:firstRow="0" w:lastRow="0" w:firstColumn="0" w:lastColumn="0" w:oddVBand="1" w:evenVBand="0" w:oddHBand="0" w:evenHBand="0" w:firstRowFirstColumn="0" w:firstRowLastColumn="0" w:lastRowFirstColumn="0" w:lastRowLastColumn="0"/>
            <w:tcW w:w="928"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Определение объемов переданной электрической энергии потребителю в отсутствие показаний приборов </w:t>
            </w:r>
            <w:proofErr w:type="gramStart"/>
            <w:r w:rsidRPr="00BB37FC">
              <w:rPr>
                <w:rFonts w:ascii="Times New Roman" w:hAnsi="Times New Roman" w:cs="Times New Roman"/>
              </w:rPr>
              <w:t>учета  осуществляется</w:t>
            </w:r>
            <w:proofErr w:type="gramEnd"/>
            <w:r w:rsidRPr="00BB37FC">
              <w:rPr>
                <w:rFonts w:ascii="Times New Roman" w:hAnsi="Times New Roman" w:cs="Times New Roman"/>
              </w:rPr>
              <w:t>:</w:t>
            </w:r>
          </w:p>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1. Для потребителей юридических лиц, за исключением исполнителей коммунальных услуг, начиная с 3-го и в последующие пе</w:t>
            </w:r>
            <w:r>
              <w:rPr>
                <w:rFonts w:ascii="Times New Roman" w:hAnsi="Times New Roman" w:cs="Times New Roman"/>
              </w:rPr>
              <w:t>риоды подряд расчетным способом</w:t>
            </w:r>
            <w:r w:rsidRPr="00BB37FC">
              <w:rPr>
                <w:rFonts w:ascii="Times New Roman" w:hAnsi="Times New Roman" w:cs="Times New Roman"/>
              </w:rPr>
              <w:t xml:space="preserve"> путем </w:t>
            </w:r>
            <w:proofErr w:type="gramStart"/>
            <w:r w:rsidRPr="00BB37FC">
              <w:rPr>
                <w:rFonts w:ascii="Times New Roman" w:hAnsi="Times New Roman" w:cs="Times New Roman"/>
              </w:rPr>
              <w:t>произведения  максимальной</w:t>
            </w:r>
            <w:proofErr w:type="gramEnd"/>
            <w:r w:rsidRPr="00BB37FC">
              <w:rPr>
                <w:rFonts w:ascii="Times New Roman" w:hAnsi="Times New Roman" w:cs="Times New Roman"/>
              </w:rPr>
              <w:t xml:space="preserve"> мощности </w:t>
            </w:r>
            <w:proofErr w:type="spellStart"/>
            <w:r w:rsidRPr="00BB37FC">
              <w:rPr>
                <w:rFonts w:ascii="Times New Roman" w:hAnsi="Times New Roman" w:cs="Times New Roman"/>
              </w:rPr>
              <w:t>энергопринимающих</w:t>
            </w:r>
            <w:proofErr w:type="spellEnd"/>
            <w:r w:rsidRPr="00BB37FC">
              <w:rPr>
                <w:rFonts w:ascii="Times New Roman" w:hAnsi="Times New Roman" w:cs="Times New Roman"/>
              </w:rPr>
              <w:t xml:space="preserve"> устройств соответствующей точки поставки и количества часов в расчетном периоде, а в случае отсутствия данных о </w:t>
            </w:r>
            <w:r w:rsidRPr="00BB37FC">
              <w:rPr>
                <w:rFonts w:ascii="Times New Roman" w:hAnsi="Times New Roman" w:cs="Times New Roman"/>
              </w:rPr>
              <w:lastRenderedPageBreak/>
              <w:t xml:space="preserve">максимальной мощности </w:t>
            </w:r>
            <w:proofErr w:type="spellStart"/>
            <w:r w:rsidRPr="00BB37FC">
              <w:rPr>
                <w:rFonts w:ascii="Times New Roman" w:hAnsi="Times New Roman" w:cs="Times New Roman"/>
              </w:rPr>
              <w:t>энергопринимающих</w:t>
            </w:r>
            <w:proofErr w:type="spellEnd"/>
            <w:r w:rsidRPr="00BB37FC">
              <w:rPr>
                <w:rFonts w:ascii="Times New Roman" w:hAnsi="Times New Roman" w:cs="Times New Roman"/>
              </w:rPr>
              <w:t xml:space="preserve"> устройств - исходя из допустимой длительной токовой нагрузки вводного провода (кабеля).</w:t>
            </w:r>
          </w:p>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2. Для исполнителей коммунальных услуг и физических лиц, начиная с 4-го и в последующие расчетные периоды подряд - исходя из нормативов потребления электрической энергии.</w:t>
            </w:r>
          </w:p>
        </w:tc>
        <w:tc>
          <w:tcPr>
            <w:tcW w:w="672" w:type="pct"/>
          </w:tcPr>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lastRenderedPageBreak/>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54"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до 10 числа </w:t>
            </w:r>
            <w:proofErr w:type="gramStart"/>
            <w:r w:rsidRPr="00BB37FC">
              <w:rPr>
                <w:rFonts w:ascii="Times New Roman" w:hAnsi="Times New Roman" w:cs="Times New Roman"/>
              </w:rPr>
              <w:t>месяца</w:t>
            </w:r>
            <w:proofErr w:type="gramEnd"/>
            <w:r w:rsidRPr="00BB37FC">
              <w:rPr>
                <w:rFonts w:ascii="Times New Roman" w:hAnsi="Times New Roman" w:cs="Times New Roman"/>
              </w:rPr>
              <w:t xml:space="preserve"> следующего за расчетным</w:t>
            </w:r>
          </w:p>
          <w:p w:rsidR="00522223" w:rsidRPr="00BB37FC" w:rsidRDefault="00522223" w:rsidP="00786FEA">
            <w:pPr>
              <w:autoSpaceDE w:val="0"/>
              <w:autoSpaceDN w:val="0"/>
              <w:adjustRightInd w:val="0"/>
              <w:jc w:val="both"/>
              <w:rPr>
                <w:rFonts w:ascii="Times New Roman" w:hAnsi="Times New Roman" w:cs="Times New Roman"/>
              </w:rPr>
            </w:pPr>
          </w:p>
          <w:p w:rsidR="00522223" w:rsidRPr="00BB37FC" w:rsidRDefault="00522223" w:rsidP="00786FEA">
            <w:pPr>
              <w:autoSpaceDE w:val="0"/>
              <w:autoSpaceDN w:val="0"/>
              <w:adjustRightInd w:val="0"/>
              <w:jc w:val="both"/>
              <w:rPr>
                <w:rFonts w:ascii="Times New Roman" w:hAnsi="Times New Roman" w:cs="Times New Roman"/>
              </w:rPr>
            </w:pPr>
          </w:p>
          <w:p w:rsidR="00522223" w:rsidRPr="00BB37FC" w:rsidRDefault="00522223" w:rsidP="00786FEA">
            <w:pPr>
              <w:autoSpaceDE w:val="0"/>
              <w:autoSpaceDN w:val="0"/>
              <w:adjustRightInd w:val="0"/>
              <w:jc w:val="both"/>
              <w:rPr>
                <w:rFonts w:ascii="Times New Roman" w:hAnsi="Times New Roman" w:cs="Times New Roman"/>
              </w:rPr>
            </w:pPr>
          </w:p>
          <w:p w:rsidR="00522223" w:rsidRPr="00BB37FC" w:rsidRDefault="00522223" w:rsidP="00786FEA">
            <w:pPr>
              <w:autoSpaceDE w:val="0"/>
              <w:autoSpaceDN w:val="0"/>
              <w:adjustRightInd w:val="0"/>
              <w:jc w:val="both"/>
              <w:rPr>
                <w:rFonts w:ascii="Times New Roman" w:hAnsi="Times New Roman" w:cs="Times New Roman"/>
              </w:rPr>
            </w:pPr>
          </w:p>
          <w:p w:rsidR="00522223" w:rsidRPr="00BB37FC" w:rsidRDefault="00522223" w:rsidP="00786FEA">
            <w:pPr>
              <w:autoSpaceDE w:val="0"/>
              <w:autoSpaceDN w:val="0"/>
              <w:adjustRightInd w:val="0"/>
              <w:jc w:val="both"/>
              <w:rPr>
                <w:rFonts w:ascii="Times New Roman" w:hAnsi="Times New Roman" w:cs="Times New Roman"/>
              </w:rPr>
            </w:pPr>
          </w:p>
          <w:p w:rsidR="00522223" w:rsidRPr="00BB37FC" w:rsidRDefault="00522223" w:rsidP="00786FEA">
            <w:pPr>
              <w:autoSpaceDE w:val="0"/>
              <w:autoSpaceDN w:val="0"/>
              <w:adjustRightInd w:val="0"/>
              <w:jc w:val="both"/>
              <w:rPr>
                <w:rFonts w:ascii="Times New Roman" w:hAnsi="Times New Roman" w:cs="Times New Roman"/>
              </w:rPr>
            </w:pPr>
          </w:p>
          <w:p w:rsidR="00522223" w:rsidRPr="00BB37FC" w:rsidRDefault="00522223" w:rsidP="00786FEA">
            <w:pPr>
              <w:autoSpaceDE w:val="0"/>
              <w:autoSpaceDN w:val="0"/>
              <w:adjustRightInd w:val="0"/>
              <w:jc w:val="both"/>
              <w:rPr>
                <w:rFonts w:ascii="Times New Roman" w:hAnsi="Times New Roman" w:cs="Times New Roman"/>
              </w:rPr>
            </w:pPr>
          </w:p>
          <w:p w:rsidR="00522223" w:rsidRPr="00BB37FC" w:rsidRDefault="00522223" w:rsidP="00786FEA">
            <w:pPr>
              <w:autoSpaceDE w:val="0"/>
              <w:autoSpaceDN w:val="0"/>
              <w:adjustRightInd w:val="0"/>
              <w:jc w:val="both"/>
              <w:rPr>
                <w:rFonts w:ascii="Times New Roman" w:hAnsi="Times New Roman" w:cs="Times New Roman"/>
              </w:rPr>
            </w:pPr>
          </w:p>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 </w:t>
            </w:r>
          </w:p>
        </w:tc>
        <w:tc>
          <w:tcPr>
            <w:tcW w:w="794" w:type="pct"/>
          </w:tcPr>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Пункт 166 Основ функционирования розничных рынков электрической энергии</w:t>
            </w: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lang w:eastAsia="ru-RU"/>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eastAsia="Times New Roman" w:hAnsi="Times New Roman" w:cs="Times New Roman"/>
                <w:lang w:eastAsia="ru-RU"/>
              </w:rPr>
              <w:t>Пункт 60 Пра</w:t>
            </w:r>
            <w:r w:rsidRPr="00BB37FC">
              <w:rPr>
                <w:rFonts w:ascii="Times New Roman" w:hAnsi="Times New Roman" w:cs="Times New Roman"/>
              </w:rPr>
              <w:t>вил предоставления коммунальных услуг</w:t>
            </w:r>
          </w:p>
        </w:tc>
      </w:tr>
      <w:tr w:rsidR="00522223" w:rsidRPr="00BB37FC" w:rsidTr="00786FEA">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9" w:type="pct"/>
          </w:tcPr>
          <w:p w:rsidR="00522223" w:rsidRPr="00BB37FC" w:rsidRDefault="00522223" w:rsidP="00786FEA">
            <w:pPr>
              <w:jc w:val="both"/>
              <w:rPr>
                <w:rFonts w:ascii="Times New Roman" w:eastAsia="Times New Roman" w:hAnsi="Times New Roman" w:cs="Times New Roman"/>
                <w:color w:val="548DD4" w:themeColor="text2" w:themeTint="99"/>
                <w:lang w:eastAsia="ru-RU"/>
              </w:rPr>
            </w:pPr>
            <w:r w:rsidRPr="00BB37FC">
              <w:rPr>
                <w:rFonts w:ascii="Times New Roman" w:eastAsia="Times New Roman" w:hAnsi="Times New Roman" w:cs="Times New Roman"/>
                <w:color w:val="548DD4" w:themeColor="text2" w:themeTint="99"/>
                <w:lang w:eastAsia="ru-RU"/>
              </w:rPr>
              <w:lastRenderedPageBreak/>
              <w:t>4.5</w:t>
            </w:r>
          </w:p>
        </w:tc>
        <w:tc>
          <w:tcPr>
            <w:cnfStyle w:val="000010000000" w:firstRow="0" w:lastRow="0" w:firstColumn="0" w:lastColumn="0" w:oddVBand="1" w:evenVBand="0" w:oddHBand="0" w:evenHBand="0" w:firstRowFirstColumn="0" w:firstRowLastColumn="0" w:lastRowFirstColumn="0" w:lastRowLastColumn="0"/>
            <w:tcW w:w="642"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Определение объемов переданной электрической энергии потребителю расчетным способом </w:t>
            </w:r>
          </w:p>
        </w:tc>
        <w:tc>
          <w:tcPr>
            <w:tcW w:w="911"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Наличие двух актов об отказе в доступе к приборам учета электрической энергии, составленных подряд</w:t>
            </w:r>
          </w:p>
        </w:tc>
        <w:tc>
          <w:tcPr>
            <w:cnfStyle w:val="000010000000" w:firstRow="0" w:lastRow="0" w:firstColumn="0" w:lastColumn="0" w:oddVBand="1" w:evenVBand="0" w:oddHBand="0" w:evenHBand="0" w:firstRowFirstColumn="0" w:firstRowLastColumn="0" w:lastRowFirstColumn="0" w:lastRowLastColumn="0"/>
            <w:tcW w:w="928"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Определение объемов переданной электрической энергии потребителю при 2-кратном </w:t>
            </w:r>
            <w:proofErr w:type="spellStart"/>
            <w:r w:rsidRPr="00BB37FC">
              <w:rPr>
                <w:rFonts w:ascii="Times New Roman" w:hAnsi="Times New Roman" w:cs="Times New Roman"/>
              </w:rPr>
              <w:t>недопуске</w:t>
            </w:r>
            <w:proofErr w:type="spellEnd"/>
            <w:r w:rsidRPr="00BB37FC">
              <w:rPr>
                <w:rFonts w:ascii="Times New Roman" w:hAnsi="Times New Roman" w:cs="Times New Roman"/>
              </w:rPr>
              <w:t xml:space="preserve"> к счетчикам осуществляется:</w:t>
            </w:r>
          </w:p>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1. Для потребителей юридических лиц, за исключением исполнителей коммунальных услуг, с момента составления второго подряд акта об отказе в доступе к приборам учета электроэнергии вплоть до даты допуска к счетчикам расчетным </w:t>
            </w:r>
            <w:r w:rsidRPr="00BB37FC">
              <w:rPr>
                <w:rFonts w:ascii="Times New Roman" w:hAnsi="Times New Roman" w:cs="Times New Roman"/>
              </w:rPr>
              <w:lastRenderedPageBreak/>
              <w:t xml:space="preserve">способом  путем произведения  максимальной мощности ЭПУ соответствующей точки поставки и количества часов в расчетном периоде, а в случае отсутствия данных о максимальной мощности </w:t>
            </w:r>
            <w:proofErr w:type="spellStart"/>
            <w:r w:rsidRPr="00BB37FC">
              <w:rPr>
                <w:rFonts w:ascii="Times New Roman" w:hAnsi="Times New Roman" w:cs="Times New Roman"/>
              </w:rPr>
              <w:t>энергопринимающих</w:t>
            </w:r>
            <w:proofErr w:type="spellEnd"/>
            <w:r w:rsidRPr="00BB37FC">
              <w:rPr>
                <w:rFonts w:ascii="Times New Roman" w:hAnsi="Times New Roman" w:cs="Times New Roman"/>
              </w:rPr>
              <w:t xml:space="preserve"> устройств - исходя из допустимой длительной токовой нагрузки вводного провода (кабеля).</w:t>
            </w:r>
          </w:p>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2. Для исполнителей коммунальных услуг и физических лиц  с момента составления второго подряд акта об отказе в доступе к приборам учета электроэнергии вплоть до даты допуска к счетчикам, но не более 3 расчетных периодов подряд исходя из рассчитанного среднемесячного объема потребления электроэнергии по показаниям расчетных приборов учета за период </w:t>
            </w:r>
            <w:r w:rsidRPr="00BB37FC">
              <w:rPr>
                <w:rFonts w:ascii="Times New Roman" w:hAnsi="Times New Roman" w:cs="Times New Roman"/>
              </w:rPr>
              <w:lastRenderedPageBreak/>
              <w:t>не менее 6 месяцев, а если период работы прибора учета составил меньше 6 месяцев, то за фактический период работы прибора учета, но не менее 3 месяцев.  Начиная с 4-го и в последующие расчетные периоды подряд -  исходя из нормативов потребления электрической энергии.</w:t>
            </w:r>
          </w:p>
        </w:tc>
        <w:tc>
          <w:tcPr>
            <w:tcW w:w="672"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lastRenderedPageBreak/>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54"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до 10 числа месяца следующего за расчетным</w:t>
            </w:r>
          </w:p>
        </w:tc>
        <w:tc>
          <w:tcPr>
            <w:tcW w:w="794"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Пункт 189 Основ функционирования розничных рынков электрической энергии</w:t>
            </w: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Пункт 178 Основ функционирования розничных рынков электрической энергии</w:t>
            </w: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 xml:space="preserve">Пункты 59 (в), 60, 85 (д, е) </w:t>
            </w:r>
            <w:r w:rsidRPr="00BB37FC">
              <w:rPr>
                <w:rFonts w:ascii="Times New Roman" w:eastAsia="Times New Roman" w:hAnsi="Times New Roman" w:cs="Times New Roman"/>
                <w:lang w:eastAsia="ru-RU"/>
              </w:rPr>
              <w:t>Пра</w:t>
            </w:r>
            <w:r w:rsidRPr="00BB37FC">
              <w:rPr>
                <w:rFonts w:ascii="Times New Roman" w:hAnsi="Times New Roman" w:cs="Times New Roman"/>
              </w:rPr>
              <w:t>вил предоставления коммунальных услуг</w:t>
            </w:r>
          </w:p>
        </w:tc>
      </w:tr>
      <w:tr w:rsidR="00522223" w:rsidRPr="00BB37FC" w:rsidTr="00786FEA">
        <w:trPr>
          <w:trHeight w:val="400"/>
        </w:trPr>
        <w:tc>
          <w:tcPr>
            <w:cnfStyle w:val="001000000000" w:firstRow="0" w:lastRow="0" w:firstColumn="1" w:lastColumn="0" w:oddVBand="0" w:evenVBand="0" w:oddHBand="0" w:evenHBand="0" w:firstRowFirstColumn="0" w:firstRowLastColumn="0" w:lastRowFirstColumn="0" w:lastRowLastColumn="0"/>
            <w:tcW w:w="199" w:type="pct"/>
          </w:tcPr>
          <w:p w:rsidR="00522223" w:rsidRPr="00BB37FC" w:rsidRDefault="00522223" w:rsidP="00786FEA">
            <w:pPr>
              <w:jc w:val="both"/>
              <w:rPr>
                <w:rFonts w:ascii="Times New Roman" w:eastAsia="Times New Roman" w:hAnsi="Times New Roman" w:cs="Times New Roman"/>
                <w:color w:val="548DD4" w:themeColor="text2" w:themeTint="99"/>
                <w:lang w:eastAsia="ru-RU"/>
              </w:rPr>
            </w:pPr>
            <w:r w:rsidRPr="00BB37FC">
              <w:rPr>
                <w:rFonts w:ascii="Times New Roman" w:eastAsia="Times New Roman" w:hAnsi="Times New Roman" w:cs="Times New Roman"/>
                <w:color w:val="548DD4" w:themeColor="text2" w:themeTint="99"/>
                <w:lang w:eastAsia="ru-RU"/>
              </w:rPr>
              <w:lastRenderedPageBreak/>
              <w:t>4.6</w:t>
            </w:r>
          </w:p>
        </w:tc>
        <w:tc>
          <w:tcPr>
            <w:cnfStyle w:val="000010000000" w:firstRow="0" w:lastRow="0" w:firstColumn="0" w:lastColumn="0" w:oddVBand="1" w:evenVBand="0" w:oddHBand="0" w:evenHBand="0" w:firstRowFirstColumn="0" w:firstRowLastColumn="0" w:lastRowFirstColumn="0" w:lastRowLastColumn="0"/>
            <w:tcW w:w="642"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Определение объемов переданной электрической энергии потребителю расчетным способом</w:t>
            </w:r>
          </w:p>
        </w:tc>
        <w:tc>
          <w:tcPr>
            <w:tcW w:w="911" w:type="pct"/>
          </w:tcPr>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 xml:space="preserve">Отсутствие прибора учета за </w:t>
            </w:r>
            <w:proofErr w:type="gramStart"/>
            <w:r w:rsidRPr="00BB37FC">
              <w:rPr>
                <w:rFonts w:ascii="Times New Roman" w:hAnsi="Times New Roman" w:cs="Times New Roman"/>
              </w:rPr>
              <w:t>исключением  случаев</w:t>
            </w:r>
            <w:proofErr w:type="gramEnd"/>
            <w:r w:rsidRPr="00BB37FC">
              <w:rPr>
                <w:rFonts w:ascii="Times New Roman" w:hAnsi="Times New Roman" w:cs="Times New Roman"/>
              </w:rPr>
              <w:t xml:space="preserve"> обнаружения потребителем  его утраты, либо демонтажа счетчика  в связи с поверкой, ремонтом, заменой, с обязательным уведомлением сетевой организацией со стороны потребителя о факте утраты счетчика, либо его демонтажа.</w:t>
            </w: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010000000" w:firstRow="0" w:lastRow="0" w:firstColumn="0" w:lastColumn="0" w:oddVBand="1" w:evenVBand="0" w:oddHBand="0" w:evenHBand="0" w:firstRowFirstColumn="0" w:firstRowLastColumn="0" w:lastRowFirstColumn="0" w:lastRowLastColumn="0"/>
            <w:tcW w:w="928"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Определение объемов переданной электрической энергии </w:t>
            </w:r>
            <w:proofErr w:type="gramStart"/>
            <w:r w:rsidRPr="00BB37FC">
              <w:rPr>
                <w:rFonts w:ascii="Times New Roman" w:hAnsi="Times New Roman" w:cs="Times New Roman"/>
              </w:rPr>
              <w:t>потребителю  в</w:t>
            </w:r>
            <w:proofErr w:type="gramEnd"/>
            <w:r w:rsidRPr="00BB37FC">
              <w:rPr>
                <w:rFonts w:ascii="Times New Roman" w:hAnsi="Times New Roman" w:cs="Times New Roman"/>
              </w:rPr>
              <w:t xml:space="preserve"> случае отсутствия прибора учета электрической энергии осуществляется:</w:t>
            </w:r>
          </w:p>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1. Для потребителей юридических лиц, за исключением исполнителей коммунальных расчетным </w:t>
            </w:r>
            <w:proofErr w:type="gramStart"/>
            <w:r w:rsidRPr="00BB37FC">
              <w:rPr>
                <w:rFonts w:ascii="Times New Roman" w:hAnsi="Times New Roman" w:cs="Times New Roman"/>
              </w:rPr>
              <w:t>способом  путем</w:t>
            </w:r>
            <w:proofErr w:type="gramEnd"/>
            <w:r w:rsidRPr="00BB37FC">
              <w:rPr>
                <w:rFonts w:ascii="Times New Roman" w:hAnsi="Times New Roman" w:cs="Times New Roman"/>
              </w:rPr>
              <w:t xml:space="preserve"> произведения  максимальной мощности </w:t>
            </w:r>
            <w:proofErr w:type="spellStart"/>
            <w:r w:rsidRPr="00BB37FC">
              <w:rPr>
                <w:rFonts w:ascii="Times New Roman" w:hAnsi="Times New Roman" w:cs="Times New Roman"/>
              </w:rPr>
              <w:t>энергопринимающих</w:t>
            </w:r>
            <w:proofErr w:type="spellEnd"/>
            <w:r w:rsidRPr="00BB37FC">
              <w:rPr>
                <w:rFonts w:ascii="Times New Roman" w:hAnsi="Times New Roman" w:cs="Times New Roman"/>
              </w:rPr>
              <w:t xml:space="preserve"> устройств соответствующей точки поставки и количества часов в расчетном периоде, а в случае </w:t>
            </w:r>
            <w:r w:rsidRPr="00BB37FC">
              <w:rPr>
                <w:rFonts w:ascii="Times New Roman" w:hAnsi="Times New Roman" w:cs="Times New Roman"/>
              </w:rPr>
              <w:lastRenderedPageBreak/>
              <w:t xml:space="preserve">отсутствия данных о максимальной мощности </w:t>
            </w:r>
            <w:proofErr w:type="spellStart"/>
            <w:r w:rsidRPr="00BB37FC">
              <w:rPr>
                <w:rFonts w:ascii="Times New Roman" w:hAnsi="Times New Roman" w:cs="Times New Roman"/>
              </w:rPr>
              <w:t>энергопринимающих</w:t>
            </w:r>
            <w:proofErr w:type="spellEnd"/>
            <w:r w:rsidRPr="00BB37FC">
              <w:rPr>
                <w:rFonts w:ascii="Times New Roman" w:hAnsi="Times New Roman" w:cs="Times New Roman"/>
              </w:rPr>
              <w:t xml:space="preserve"> устройств — исходя из допустимой длительной токовой нагрузки вводного провода (кабеля);</w:t>
            </w:r>
          </w:p>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2. Для исполнителей коммунальных услуг и физических лиц - исходя из нормативов потребления электрической энергии. </w:t>
            </w:r>
          </w:p>
        </w:tc>
        <w:tc>
          <w:tcPr>
            <w:tcW w:w="672" w:type="pct"/>
          </w:tcPr>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lastRenderedPageBreak/>
              <w:t>Письменно, с использованием программного обеспечения</w:t>
            </w:r>
          </w:p>
        </w:tc>
        <w:tc>
          <w:tcPr>
            <w:cnfStyle w:val="000010000000" w:firstRow="0" w:lastRow="0" w:firstColumn="0" w:lastColumn="0" w:oddVBand="1" w:evenVBand="0" w:oddHBand="0" w:evenHBand="0" w:firstRowFirstColumn="0" w:firstRowLastColumn="0" w:lastRowFirstColumn="0" w:lastRowLastColumn="0"/>
            <w:tcW w:w="854"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до 10 числа </w:t>
            </w:r>
            <w:proofErr w:type="gramStart"/>
            <w:r w:rsidRPr="00BB37FC">
              <w:rPr>
                <w:rFonts w:ascii="Times New Roman" w:hAnsi="Times New Roman" w:cs="Times New Roman"/>
              </w:rPr>
              <w:t>месяца</w:t>
            </w:r>
            <w:proofErr w:type="gramEnd"/>
            <w:r w:rsidRPr="00BB37FC">
              <w:rPr>
                <w:rFonts w:ascii="Times New Roman" w:hAnsi="Times New Roman" w:cs="Times New Roman"/>
              </w:rPr>
              <w:t xml:space="preserve"> следующего за расчетным</w:t>
            </w:r>
          </w:p>
          <w:p w:rsidR="00522223" w:rsidRPr="00BB37FC" w:rsidRDefault="00522223" w:rsidP="00786FEA">
            <w:pPr>
              <w:autoSpaceDE w:val="0"/>
              <w:autoSpaceDN w:val="0"/>
              <w:adjustRightInd w:val="0"/>
              <w:jc w:val="both"/>
              <w:rPr>
                <w:rFonts w:ascii="Times New Roman" w:hAnsi="Times New Roman" w:cs="Times New Roman"/>
              </w:rPr>
            </w:pPr>
          </w:p>
        </w:tc>
        <w:tc>
          <w:tcPr>
            <w:tcW w:w="794" w:type="pct"/>
          </w:tcPr>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Пункт 189 Основ функционирования розничных рынков электрической энергии</w:t>
            </w: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Пункт 181 Основ функционирования розничных рынков электрической энергии</w:t>
            </w: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 xml:space="preserve">Пункт 55 </w:t>
            </w:r>
            <w:r w:rsidRPr="00BB37FC">
              <w:rPr>
                <w:rFonts w:ascii="Times New Roman" w:eastAsia="Times New Roman" w:hAnsi="Times New Roman" w:cs="Times New Roman"/>
                <w:lang w:eastAsia="ru-RU"/>
              </w:rPr>
              <w:t>Пра</w:t>
            </w:r>
            <w:r w:rsidRPr="00BB37FC">
              <w:rPr>
                <w:rFonts w:ascii="Times New Roman" w:hAnsi="Times New Roman" w:cs="Times New Roman"/>
              </w:rPr>
              <w:t>вил предоставления коммунальных услуг</w:t>
            </w: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Пункт 1 статьи 13 Федерального закона РФ от 23.11.2009 г. № 261-ФЗ</w:t>
            </w:r>
          </w:p>
        </w:tc>
      </w:tr>
      <w:tr w:rsidR="00522223" w:rsidRPr="00BB37FC" w:rsidTr="00786FEA">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9" w:type="pct"/>
          </w:tcPr>
          <w:p w:rsidR="00522223" w:rsidRPr="00BB37FC" w:rsidRDefault="00522223" w:rsidP="00786FEA">
            <w:pPr>
              <w:jc w:val="both"/>
              <w:rPr>
                <w:rFonts w:ascii="Times New Roman" w:eastAsia="Times New Roman" w:hAnsi="Times New Roman" w:cs="Times New Roman"/>
                <w:color w:val="548DD4" w:themeColor="text2" w:themeTint="99"/>
                <w:lang w:eastAsia="ru-RU"/>
              </w:rPr>
            </w:pPr>
            <w:r w:rsidRPr="00BB37FC">
              <w:rPr>
                <w:rFonts w:ascii="Times New Roman" w:eastAsia="Times New Roman" w:hAnsi="Times New Roman" w:cs="Times New Roman"/>
                <w:color w:val="548DD4" w:themeColor="text2" w:themeTint="99"/>
                <w:lang w:eastAsia="ru-RU"/>
              </w:rPr>
              <w:lastRenderedPageBreak/>
              <w:t>4.7</w:t>
            </w:r>
          </w:p>
        </w:tc>
        <w:tc>
          <w:tcPr>
            <w:cnfStyle w:val="000010000000" w:firstRow="0" w:lastRow="0" w:firstColumn="0" w:lastColumn="0" w:oddVBand="1" w:evenVBand="0" w:oddHBand="0" w:evenHBand="0" w:firstRowFirstColumn="0" w:firstRowLastColumn="0" w:lastRowFirstColumn="0" w:lastRowLastColumn="0"/>
            <w:tcW w:w="642"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Определение объемов переданной электрической энергии потребителю расчетным способом </w:t>
            </w:r>
          </w:p>
        </w:tc>
        <w:tc>
          <w:tcPr>
            <w:tcW w:w="911"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 xml:space="preserve">Установка прибора учета не на границе балансовой принадлежности потребителя и </w:t>
            </w:r>
            <w:r w:rsidRPr="00BB37FC">
              <w:rPr>
                <w:rFonts w:ascii="Times New Roman" w:hAnsi="Times New Roman" w:cs="Times New Roman"/>
                <w:sz w:val="24"/>
                <w:szCs w:val="24"/>
              </w:rPr>
              <w:t xml:space="preserve">сетевой организацией </w:t>
            </w:r>
          </w:p>
        </w:tc>
        <w:tc>
          <w:tcPr>
            <w:cnfStyle w:val="000010000000" w:firstRow="0" w:lastRow="0" w:firstColumn="0" w:lastColumn="0" w:oddVBand="1" w:evenVBand="0" w:oddHBand="0" w:evenHBand="0" w:firstRowFirstColumn="0" w:firstRowLastColumn="0" w:lastRowFirstColumn="0" w:lastRowLastColumn="0"/>
            <w:tcW w:w="928"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Объем электрической энергии, определенный по счетчику, подлежит корректировке на величину потерь электроэнергии, возникающих на участке сети от границы балансовой принадлежности до места установки прибора учета. При этом расчет величины потерь осуществляет сетевая организация  в соответствии с </w:t>
            </w:r>
            <w:r w:rsidRPr="00BB37FC">
              <w:rPr>
                <w:rFonts w:ascii="Times New Roman" w:hAnsi="Times New Roman" w:cs="Times New Roman"/>
              </w:rPr>
              <w:lastRenderedPageBreak/>
              <w:t>аттестованной методикой.</w:t>
            </w:r>
          </w:p>
        </w:tc>
        <w:tc>
          <w:tcPr>
            <w:tcW w:w="672"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lastRenderedPageBreak/>
              <w:t>Письменно, с использованием программного обеспечения и аттестованной методики</w:t>
            </w:r>
          </w:p>
        </w:tc>
        <w:tc>
          <w:tcPr>
            <w:cnfStyle w:val="000010000000" w:firstRow="0" w:lastRow="0" w:firstColumn="0" w:lastColumn="0" w:oddVBand="1" w:evenVBand="0" w:oddHBand="0" w:evenHBand="0" w:firstRowFirstColumn="0" w:firstRowLastColumn="0" w:lastRowFirstColumn="0" w:lastRowLastColumn="0"/>
            <w:tcW w:w="854"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до 10 числа месяца следующего за расчетным</w:t>
            </w:r>
          </w:p>
        </w:tc>
        <w:tc>
          <w:tcPr>
            <w:tcW w:w="794"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Пункты 144, 189 Основ функционирования розничных рынков электрической энергии</w:t>
            </w:r>
          </w:p>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522223" w:rsidRPr="00BB37FC" w:rsidTr="00786FEA">
        <w:trPr>
          <w:trHeight w:val="400"/>
        </w:trPr>
        <w:tc>
          <w:tcPr>
            <w:cnfStyle w:val="001000000000" w:firstRow="0" w:lastRow="0" w:firstColumn="1" w:lastColumn="0" w:oddVBand="0" w:evenVBand="0" w:oddHBand="0" w:evenHBand="0" w:firstRowFirstColumn="0" w:firstRowLastColumn="0" w:lastRowFirstColumn="0" w:lastRowLastColumn="0"/>
            <w:tcW w:w="199" w:type="pct"/>
          </w:tcPr>
          <w:p w:rsidR="00522223" w:rsidRPr="00BB37FC" w:rsidRDefault="00522223" w:rsidP="00786FEA">
            <w:pPr>
              <w:jc w:val="both"/>
              <w:rPr>
                <w:rFonts w:ascii="Times New Roman" w:eastAsia="Times New Roman" w:hAnsi="Times New Roman" w:cs="Times New Roman"/>
                <w:color w:val="548DD4" w:themeColor="text2" w:themeTint="99"/>
                <w:lang w:eastAsia="ru-RU"/>
              </w:rPr>
            </w:pPr>
            <w:r w:rsidRPr="00BB37FC">
              <w:rPr>
                <w:rFonts w:ascii="Times New Roman" w:eastAsia="Times New Roman" w:hAnsi="Times New Roman" w:cs="Times New Roman"/>
                <w:color w:val="548DD4" w:themeColor="text2" w:themeTint="99"/>
                <w:lang w:eastAsia="ru-RU"/>
              </w:rPr>
              <w:lastRenderedPageBreak/>
              <w:t>4.8</w:t>
            </w:r>
          </w:p>
        </w:tc>
        <w:tc>
          <w:tcPr>
            <w:cnfStyle w:val="000010000000" w:firstRow="0" w:lastRow="0" w:firstColumn="0" w:lastColumn="0" w:oddVBand="1" w:evenVBand="0" w:oddHBand="0" w:evenHBand="0" w:firstRowFirstColumn="0" w:firstRowLastColumn="0" w:lastRowFirstColumn="0" w:lastRowLastColumn="0"/>
            <w:tcW w:w="642"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Определение объема </w:t>
            </w:r>
            <w:proofErr w:type="spellStart"/>
            <w:r w:rsidRPr="00BB37FC">
              <w:rPr>
                <w:rFonts w:ascii="Times New Roman" w:hAnsi="Times New Roman" w:cs="Times New Roman"/>
              </w:rPr>
              <w:t>безучетного</w:t>
            </w:r>
            <w:proofErr w:type="spellEnd"/>
            <w:r w:rsidRPr="00BB37FC">
              <w:rPr>
                <w:rFonts w:ascii="Times New Roman" w:hAnsi="Times New Roman" w:cs="Times New Roman"/>
              </w:rPr>
              <w:t xml:space="preserve"> потребления электрической энергии</w:t>
            </w:r>
          </w:p>
        </w:tc>
        <w:tc>
          <w:tcPr>
            <w:tcW w:w="911" w:type="pct"/>
          </w:tcPr>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 xml:space="preserve">Выявление факта </w:t>
            </w:r>
            <w:proofErr w:type="spellStart"/>
            <w:r w:rsidRPr="00BB37FC">
              <w:rPr>
                <w:rFonts w:ascii="Times New Roman" w:hAnsi="Times New Roman" w:cs="Times New Roman"/>
              </w:rPr>
              <w:t>безучетного</w:t>
            </w:r>
            <w:proofErr w:type="spellEnd"/>
            <w:r w:rsidRPr="00BB37FC">
              <w:rPr>
                <w:rFonts w:ascii="Times New Roman" w:hAnsi="Times New Roman" w:cs="Times New Roman"/>
              </w:rPr>
              <w:t xml:space="preserve"> потребления электроэнергии и составления акта о неучтенном потреблении электроэнергии.  </w:t>
            </w:r>
          </w:p>
        </w:tc>
        <w:tc>
          <w:tcPr>
            <w:cnfStyle w:val="000010000000" w:firstRow="0" w:lastRow="0" w:firstColumn="0" w:lastColumn="0" w:oddVBand="1" w:evenVBand="0" w:oddHBand="0" w:evenHBand="0" w:firstRowFirstColumn="0" w:firstRowLastColumn="0" w:lastRowFirstColumn="0" w:lastRowLastColumn="0"/>
            <w:tcW w:w="928"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Определение объемов </w:t>
            </w:r>
            <w:proofErr w:type="spellStart"/>
            <w:r w:rsidRPr="00BB37FC">
              <w:rPr>
                <w:rFonts w:ascii="Times New Roman" w:hAnsi="Times New Roman" w:cs="Times New Roman"/>
              </w:rPr>
              <w:t>безучетного</w:t>
            </w:r>
            <w:proofErr w:type="spellEnd"/>
            <w:r w:rsidRPr="00BB37FC">
              <w:rPr>
                <w:rFonts w:ascii="Times New Roman" w:hAnsi="Times New Roman" w:cs="Times New Roman"/>
              </w:rPr>
              <w:t xml:space="preserve"> потребления электрической </w:t>
            </w:r>
            <w:proofErr w:type="gramStart"/>
            <w:r w:rsidRPr="00BB37FC">
              <w:rPr>
                <w:rFonts w:ascii="Times New Roman" w:hAnsi="Times New Roman" w:cs="Times New Roman"/>
              </w:rPr>
              <w:t>энергии  потребителем</w:t>
            </w:r>
            <w:proofErr w:type="gramEnd"/>
            <w:r w:rsidRPr="00BB37FC">
              <w:rPr>
                <w:rFonts w:ascii="Times New Roman" w:hAnsi="Times New Roman" w:cs="Times New Roman"/>
              </w:rPr>
              <w:t xml:space="preserve"> осуществляется с даты предыдущей контрольной проверки прибора учета электрической энергии (но не более, чем за 1 год) в следующем порядке:</w:t>
            </w:r>
          </w:p>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1. Для потребителей юридических лиц, за исключением исполнителей коммунальных услуг, расчетным </w:t>
            </w:r>
            <w:proofErr w:type="gramStart"/>
            <w:r w:rsidRPr="00BB37FC">
              <w:rPr>
                <w:rFonts w:ascii="Times New Roman" w:hAnsi="Times New Roman" w:cs="Times New Roman"/>
              </w:rPr>
              <w:t>способом  путем</w:t>
            </w:r>
            <w:proofErr w:type="gramEnd"/>
            <w:r w:rsidRPr="00BB37FC">
              <w:rPr>
                <w:rFonts w:ascii="Times New Roman" w:hAnsi="Times New Roman" w:cs="Times New Roman"/>
              </w:rPr>
              <w:t xml:space="preserve"> произведения  максимальной мощности </w:t>
            </w:r>
            <w:proofErr w:type="spellStart"/>
            <w:r w:rsidRPr="00BB37FC">
              <w:rPr>
                <w:rFonts w:ascii="Times New Roman" w:hAnsi="Times New Roman" w:cs="Times New Roman"/>
              </w:rPr>
              <w:t>энергопринимающих</w:t>
            </w:r>
            <w:proofErr w:type="spellEnd"/>
            <w:r w:rsidRPr="00BB37FC">
              <w:rPr>
                <w:rFonts w:ascii="Times New Roman" w:hAnsi="Times New Roman" w:cs="Times New Roman"/>
              </w:rPr>
              <w:t xml:space="preserve"> устройств соответствующей точки поставки и количества часов в расчетном периоде, а в случае отсутствия данных о максимальной мощности </w:t>
            </w:r>
            <w:proofErr w:type="spellStart"/>
            <w:r w:rsidRPr="00BB37FC">
              <w:rPr>
                <w:rFonts w:ascii="Times New Roman" w:hAnsi="Times New Roman" w:cs="Times New Roman"/>
              </w:rPr>
              <w:t>энергопринимающих</w:t>
            </w:r>
            <w:proofErr w:type="spellEnd"/>
            <w:r w:rsidRPr="00BB37FC">
              <w:rPr>
                <w:rFonts w:ascii="Times New Roman" w:hAnsi="Times New Roman" w:cs="Times New Roman"/>
              </w:rPr>
              <w:t xml:space="preserve"> устройств — исходя из допустимой длительной токовой нагрузки </w:t>
            </w:r>
            <w:r w:rsidRPr="00BB37FC">
              <w:rPr>
                <w:rFonts w:ascii="Times New Roman" w:hAnsi="Times New Roman" w:cs="Times New Roman"/>
              </w:rPr>
              <w:lastRenderedPageBreak/>
              <w:t>вводного провода (кабеля).</w:t>
            </w:r>
          </w:p>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2. Для исполнителей коммунальных услуг и физических </w:t>
            </w:r>
            <w:proofErr w:type="gramStart"/>
            <w:r w:rsidRPr="00BB37FC">
              <w:rPr>
                <w:rFonts w:ascii="Times New Roman" w:hAnsi="Times New Roman" w:cs="Times New Roman"/>
              </w:rPr>
              <w:t>лиц,  исходя</w:t>
            </w:r>
            <w:proofErr w:type="gramEnd"/>
            <w:r w:rsidRPr="00BB37FC">
              <w:rPr>
                <w:rFonts w:ascii="Times New Roman" w:hAnsi="Times New Roman" w:cs="Times New Roman"/>
              </w:rPr>
              <w:t xml:space="preserve"> из:</w:t>
            </w:r>
          </w:p>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-нормативов потребления электрической энергии;</w:t>
            </w:r>
          </w:p>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-мощности несанкционированного подключения.</w:t>
            </w:r>
          </w:p>
          <w:p w:rsidR="00522223" w:rsidRPr="00BB37FC" w:rsidRDefault="00522223" w:rsidP="00786FEA">
            <w:pPr>
              <w:autoSpaceDE w:val="0"/>
              <w:autoSpaceDN w:val="0"/>
              <w:adjustRightInd w:val="0"/>
              <w:jc w:val="both"/>
              <w:rPr>
                <w:rFonts w:ascii="Times New Roman" w:hAnsi="Times New Roman" w:cs="Times New Roman"/>
              </w:rPr>
            </w:pPr>
          </w:p>
        </w:tc>
        <w:tc>
          <w:tcPr>
            <w:tcW w:w="672" w:type="pct"/>
          </w:tcPr>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lastRenderedPageBreak/>
              <w:t>Письменно</w:t>
            </w:r>
          </w:p>
        </w:tc>
        <w:tc>
          <w:tcPr>
            <w:cnfStyle w:val="000010000000" w:firstRow="0" w:lastRow="0" w:firstColumn="0" w:lastColumn="0" w:oddVBand="1" w:evenVBand="0" w:oddHBand="0" w:evenHBand="0" w:firstRowFirstColumn="0" w:firstRowLastColumn="0" w:lastRowFirstColumn="0" w:lastRowLastColumn="0"/>
            <w:tcW w:w="854"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в течение 2 рабочих дней с момента составления акта о </w:t>
            </w:r>
            <w:proofErr w:type="spellStart"/>
            <w:r w:rsidRPr="00BB37FC">
              <w:rPr>
                <w:rFonts w:ascii="Times New Roman" w:hAnsi="Times New Roman" w:cs="Times New Roman"/>
              </w:rPr>
              <w:t>безучетном</w:t>
            </w:r>
            <w:proofErr w:type="spellEnd"/>
            <w:r w:rsidRPr="00BB37FC">
              <w:rPr>
                <w:rFonts w:ascii="Times New Roman" w:hAnsi="Times New Roman" w:cs="Times New Roman"/>
              </w:rPr>
              <w:t xml:space="preserve"> потреблении</w:t>
            </w:r>
          </w:p>
        </w:tc>
        <w:tc>
          <w:tcPr>
            <w:tcW w:w="794" w:type="pct"/>
          </w:tcPr>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Пункты 194, 195 Основ функционирования розничных рынков электрической энергии</w:t>
            </w: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 xml:space="preserve">Пункт 62, 81 (1) </w:t>
            </w:r>
            <w:r w:rsidRPr="00BB37FC">
              <w:rPr>
                <w:rFonts w:ascii="Times New Roman" w:eastAsia="Times New Roman" w:hAnsi="Times New Roman" w:cs="Times New Roman"/>
                <w:lang w:eastAsia="ru-RU"/>
              </w:rPr>
              <w:t>Пра</w:t>
            </w:r>
            <w:r w:rsidRPr="00BB37FC">
              <w:rPr>
                <w:rFonts w:ascii="Times New Roman" w:hAnsi="Times New Roman" w:cs="Times New Roman"/>
              </w:rPr>
              <w:t>вил предоставления коммунальных услуг</w:t>
            </w:r>
          </w:p>
          <w:p w:rsidR="00522223" w:rsidRPr="00BB37FC" w:rsidRDefault="00522223" w:rsidP="00786FE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522223" w:rsidRPr="00BB37FC" w:rsidTr="00786FEA">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199" w:type="pct"/>
          </w:tcPr>
          <w:p w:rsidR="00522223" w:rsidRPr="00BB37FC" w:rsidRDefault="00522223" w:rsidP="00786FEA">
            <w:pPr>
              <w:jc w:val="both"/>
              <w:rPr>
                <w:rFonts w:ascii="Times New Roman" w:eastAsia="Times New Roman" w:hAnsi="Times New Roman" w:cs="Times New Roman"/>
                <w:color w:val="548DD4" w:themeColor="text2" w:themeTint="99"/>
                <w:lang w:eastAsia="ru-RU"/>
              </w:rPr>
            </w:pPr>
            <w:r w:rsidRPr="00BB37FC">
              <w:rPr>
                <w:rFonts w:ascii="Times New Roman" w:eastAsia="Times New Roman" w:hAnsi="Times New Roman" w:cs="Times New Roman"/>
                <w:color w:val="548DD4" w:themeColor="text2" w:themeTint="99"/>
                <w:lang w:eastAsia="ru-RU"/>
              </w:rPr>
              <w:lastRenderedPageBreak/>
              <w:t>4.9</w:t>
            </w:r>
          </w:p>
        </w:tc>
        <w:tc>
          <w:tcPr>
            <w:cnfStyle w:val="000010000000" w:firstRow="0" w:lastRow="0" w:firstColumn="0" w:lastColumn="0" w:oddVBand="1" w:evenVBand="0" w:oddHBand="0" w:evenHBand="0" w:firstRowFirstColumn="0" w:firstRowLastColumn="0" w:lastRowFirstColumn="0" w:lastRowLastColumn="0"/>
            <w:tcW w:w="642"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Определение объема бездоговорного потребления электрической энергии</w:t>
            </w:r>
          </w:p>
        </w:tc>
        <w:tc>
          <w:tcPr>
            <w:tcW w:w="911"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 xml:space="preserve">Выявление факта бездоговорного потребления электроэнергии и составления акта о бездоговорном потреблении электроэнергии. </w:t>
            </w:r>
          </w:p>
        </w:tc>
        <w:tc>
          <w:tcPr>
            <w:cnfStyle w:val="000010000000" w:firstRow="0" w:lastRow="0" w:firstColumn="0" w:lastColumn="0" w:oddVBand="1" w:evenVBand="0" w:oddHBand="0" w:evenHBand="0" w:firstRowFirstColumn="0" w:firstRowLastColumn="0" w:lastRowFirstColumn="0" w:lastRowLastColumn="0"/>
            <w:tcW w:w="928"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 xml:space="preserve">Определение объемов бездоговорного потребления электрической </w:t>
            </w:r>
            <w:proofErr w:type="gramStart"/>
            <w:r w:rsidRPr="00BB37FC">
              <w:rPr>
                <w:rFonts w:ascii="Times New Roman" w:hAnsi="Times New Roman" w:cs="Times New Roman"/>
              </w:rPr>
              <w:t>энергии  потребителем</w:t>
            </w:r>
            <w:proofErr w:type="gramEnd"/>
            <w:r w:rsidRPr="00BB37FC">
              <w:rPr>
                <w:rFonts w:ascii="Times New Roman" w:hAnsi="Times New Roman" w:cs="Times New Roman"/>
              </w:rPr>
              <w:t xml:space="preserve"> производится за период времени в течение которого осуществлялось бездоговорное потребление электрической энергии (но не более, чем за 1 года) расчетным способом  исходя из допустимой длительной токовой нагрузки каждого вводного провода (кабеля).</w:t>
            </w:r>
          </w:p>
          <w:p w:rsidR="00522223" w:rsidRPr="00BB37FC" w:rsidRDefault="00522223" w:rsidP="00786FEA">
            <w:pPr>
              <w:autoSpaceDE w:val="0"/>
              <w:autoSpaceDN w:val="0"/>
              <w:adjustRightInd w:val="0"/>
              <w:jc w:val="both"/>
              <w:rPr>
                <w:rFonts w:ascii="Times New Roman" w:hAnsi="Times New Roman" w:cs="Times New Roman"/>
              </w:rPr>
            </w:pPr>
          </w:p>
        </w:tc>
        <w:tc>
          <w:tcPr>
            <w:tcW w:w="672"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Письменно</w:t>
            </w:r>
          </w:p>
        </w:tc>
        <w:tc>
          <w:tcPr>
            <w:cnfStyle w:val="000010000000" w:firstRow="0" w:lastRow="0" w:firstColumn="0" w:lastColumn="0" w:oddVBand="1" w:evenVBand="0" w:oddHBand="0" w:evenHBand="0" w:firstRowFirstColumn="0" w:firstRowLastColumn="0" w:lastRowFirstColumn="0" w:lastRowLastColumn="0"/>
            <w:tcW w:w="854" w:type="pct"/>
          </w:tcPr>
          <w:p w:rsidR="00522223" w:rsidRPr="00BB37FC" w:rsidRDefault="00522223" w:rsidP="00786FEA">
            <w:pPr>
              <w:autoSpaceDE w:val="0"/>
              <w:autoSpaceDN w:val="0"/>
              <w:adjustRightInd w:val="0"/>
              <w:jc w:val="both"/>
              <w:rPr>
                <w:rFonts w:ascii="Times New Roman" w:hAnsi="Times New Roman" w:cs="Times New Roman"/>
              </w:rPr>
            </w:pPr>
            <w:r w:rsidRPr="00BB37FC">
              <w:rPr>
                <w:rFonts w:ascii="Times New Roman" w:hAnsi="Times New Roman" w:cs="Times New Roman"/>
              </w:rPr>
              <w:t>в течение 2 рабочих дней с момента составления акта о бездоговорном потреблении</w:t>
            </w:r>
          </w:p>
        </w:tc>
        <w:tc>
          <w:tcPr>
            <w:tcW w:w="794" w:type="pct"/>
          </w:tcPr>
          <w:p w:rsidR="00522223" w:rsidRPr="00BB37FC" w:rsidRDefault="00522223" w:rsidP="00786FE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B37FC">
              <w:rPr>
                <w:rFonts w:ascii="Times New Roman" w:hAnsi="Times New Roman" w:cs="Times New Roman"/>
              </w:rPr>
              <w:t>Пункты 195, 196 Основ функционирования розничных рынков электрической энергии</w:t>
            </w:r>
          </w:p>
        </w:tc>
      </w:tr>
    </w:tbl>
    <w:p w:rsidR="00522223" w:rsidRPr="00BB37FC" w:rsidRDefault="00522223" w:rsidP="00522223">
      <w:pPr>
        <w:autoSpaceDE w:val="0"/>
        <w:autoSpaceDN w:val="0"/>
        <w:adjustRightInd w:val="0"/>
        <w:spacing w:after="60" w:line="240" w:lineRule="auto"/>
        <w:jc w:val="both"/>
        <w:rPr>
          <w:rFonts w:ascii="Times New Roman" w:hAnsi="Times New Roman" w:cs="Times New Roman"/>
          <w:b/>
          <w:color w:val="548DD4" w:themeColor="text2" w:themeTint="99"/>
          <w:sz w:val="24"/>
          <w:szCs w:val="24"/>
        </w:rPr>
      </w:pPr>
    </w:p>
    <w:p w:rsidR="00522223" w:rsidRPr="00BB37FC" w:rsidRDefault="00522223" w:rsidP="00522223">
      <w:pPr>
        <w:autoSpaceDE w:val="0"/>
        <w:autoSpaceDN w:val="0"/>
        <w:adjustRightInd w:val="0"/>
        <w:spacing w:after="0" w:line="240" w:lineRule="auto"/>
        <w:jc w:val="both"/>
        <w:rPr>
          <w:rFonts w:ascii="Times New Roman" w:hAnsi="Times New Roman" w:cs="Times New Roman"/>
          <w:sz w:val="24"/>
          <w:szCs w:val="24"/>
        </w:rPr>
      </w:pPr>
      <w:r w:rsidRPr="00BB37FC">
        <w:rPr>
          <w:rFonts w:ascii="Times New Roman" w:hAnsi="Times New Roman" w:cs="Times New Roman"/>
          <w:b/>
          <w:color w:val="548DD4" w:themeColor="text2" w:themeTint="99"/>
          <w:sz w:val="24"/>
          <w:szCs w:val="24"/>
        </w:rPr>
        <w:lastRenderedPageBreak/>
        <w:t>КОНТАКТНАЯ ИНФО</w:t>
      </w:r>
      <w:r w:rsidR="000A0687">
        <w:rPr>
          <w:rFonts w:ascii="Times New Roman" w:hAnsi="Times New Roman" w:cs="Times New Roman"/>
          <w:b/>
          <w:color w:val="548DD4" w:themeColor="text2" w:themeTint="99"/>
          <w:sz w:val="24"/>
          <w:szCs w:val="24"/>
        </w:rPr>
        <w:t>РМАЦИЯ ДЛЯ НАПРАВЛЕНИЯ ОБРАЩЕНИ</w:t>
      </w:r>
      <w:bookmarkStart w:id="0" w:name="_GoBack"/>
      <w:bookmarkEnd w:id="0"/>
      <w:r w:rsidRPr="00BB37FC">
        <w:rPr>
          <w:rFonts w:ascii="Times New Roman" w:hAnsi="Times New Roman" w:cs="Times New Roman"/>
          <w:b/>
          <w:color w:val="548DD4" w:themeColor="text2" w:themeTint="99"/>
          <w:sz w:val="24"/>
          <w:szCs w:val="24"/>
        </w:rPr>
        <w:t>Й:</w:t>
      </w:r>
      <w:r w:rsidRPr="00BB37FC">
        <w:rPr>
          <w:rFonts w:ascii="Times New Roman" w:hAnsi="Times New Roman" w:cs="Times New Roman"/>
          <w:sz w:val="24"/>
          <w:szCs w:val="24"/>
        </w:rPr>
        <w:t xml:space="preserve"> </w:t>
      </w:r>
    </w:p>
    <w:p w:rsidR="00522223" w:rsidRPr="00F959AD" w:rsidRDefault="00522223" w:rsidP="00522223">
      <w:pPr>
        <w:autoSpaceDE w:val="0"/>
        <w:autoSpaceDN w:val="0"/>
        <w:adjustRightInd w:val="0"/>
        <w:spacing w:after="0" w:line="240" w:lineRule="auto"/>
        <w:jc w:val="both"/>
        <w:rPr>
          <w:rFonts w:ascii="Times New Roman" w:hAnsi="Times New Roman" w:cs="Times New Roman"/>
          <w:b/>
          <w:color w:val="548DD4" w:themeColor="text2" w:themeTint="99"/>
          <w:sz w:val="24"/>
          <w:szCs w:val="24"/>
        </w:rPr>
      </w:pPr>
      <w:r>
        <w:rPr>
          <w:rFonts w:ascii="Times New Roman" w:hAnsi="Times New Roman" w:cs="Times New Roman"/>
          <w:sz w:val="24"/>
          <w:szCs w:val="24"/>
        </w:rPr>
        <w:t xml:space="preserve">Номер телефона для обращения </w:t>
      </w:r>
      <w:r w:rsidR="009360EE">
        <w:rPr>
          <w:rFonts w:ascii="Times New Roman" w:hAnsi="Times New Roman" w:cs="Times New Roman"/>
          <w:sz w:val="24"/>
          <w:szCs w:val="24"/>
        </w:rPr>
        <w:t>потребителей</w:t>
      </w:r>
      <w:r w:rsidRPr="00BB37FC">
        <w:rPr>
          <w:rFonts w:ascii="Times New Roman" w:eastAsia="Times New Roman" w:hAnsi="Times New Roman" w:cs="Times New Roman"/>
          <w:sz w:val="24"/>
          <w:szCs w:val="24"/>
          <w:lang w:eastAsia="ru-RU"/>
        </w:rPr>
        <w:t xml:space="preserve">: </w:t>
      </w:r>
      <w:r w:rsidR="00F959AD" w:rsidRPr="00F959AD">
        <w:rPr>
          <w:rFonts w:ascii="Times New Roman" w:hAnsi="Times New Roman" w:cs="Times New Roman"/>
          <w:b/>
          <w:color w:val="548DD4" w:themeColor="text2" w:themeTint="99"/>
          <w:sz w:val="24"/>
          <w:szCs w:val="24"/>
        </w:rPr>
        <w:t>27-64-09</w:t>
      </w:r>
    </w:p>
    <w:p w:rsidR="00522223" w:rsidRPr="00BB37FC" w:rsidRDefault="00522223" w:rsidP="00522223">
      <w:pPr>
        <w:autoSpaceDE w:val="0"/>
        <w:autoSpaceDN w:val="0"/>
        <w:adjustRightInd w:val="0"/>
        <w:spacing w:after="0" w:line="240" w:lineRule="auto"/>
        <w:jc w:val="both"/>
        <w:rPr>
          <w:rFonts w:ascii="Times New Roman" w:hAnsi="Times New Roman" w:cs="Times New Roman"/>
          <w:sz w:val="24"/>
          <w:szCs w:val="24"/>
        </w:rPr>
      </w:pPr>
      <w:r w:rsidRPr="00BB37FC">
        <w:rPr>
          <w:rFonts w:ascii="Times New Roman" w:hAnsi="Times New Roman" w:cs="Times New Roman"/>
          <w:sz w:val="24"/>
          <w:szCs w:val="24"/>
        </w:rPr>
        <w:t xml:space="preserve">Адреса </w:t>
      </w:r>
      <w:r>
        <w:rPr>
          <w:rFonts w:ascii="Times New Roman" w:hAnsi="Times New Roman" w:cs="Times New Roman"/>
          <w:sz w:val="24"/>
          <w:szCs w:val="24"/>
        </w:rPr>
        <w:t>для обращения</w:t>
      </w:r>
      <w:r w:rsidRPr="00BB37FC">
        <w:rPr>
          <w:rFonts w:ascii="Times New Roman" w:hAnsi="Times New Roman" w:cs="Times New Roman"/>
          <w:sz w:val="24"/>
          <w:szCs w:val="24"/>
        </w:rPr>
        <w:t xml:space="preserve">: </w:t>
      </w:r>
      <w:r w:rsidRPr="00F959AD">
        <w:rPr>
          <w:rFonts w:ascii="Times New Roman" w:hAnsi="Times New Roman" w:cs="Times New Roman"/>
          <w:b/>
          <w:color w:val="548DD4" w:themeColor="text2" w:themeTint="99"/>
          <w:sz w:val="24"/>
          <w:szCs w:val="24"/>
        </w:rPr>
        <w:t>г.</w:t>
      </w:r>
      <w:r w:rsidR="00F959AD" w:rsidRPr="00F959AD">
        <w:rPr>
          <w:rFonts w:ascii="Times New Roman" w:hAnsi="Times New Roman" w:cs="Times New Roman"/>
          <w:b/>
          <w:color w:val="548DD4" w:themeColor="text2" w:themeTint="99"/>
          <w:sz w:val="24"/>
          <w:szCs w:val="24"/>
        </w:rPr>
        <w:t xml:space="preserve"> </w:t>
      </w:r>
      <w:r w:rsidRPr="00F959AD">
        <w:rPr>
          <w:rFonts w:ascii="Times New Roman" w:hAnsi="Times New Roman" w:cs="Times New Roman"/>
          <w:b/>
          <w:color w:val="548DD4" w:themeColor="text2" w:themeTint="99"/>
          <w:sz w:val="24"/>
          <w:szCs w:val="24"/>
        </w:rPr>
        <w:t xml:space="preserve">Улан-Удэ, ул. </w:t>
      </w:r>
      <w:r w:rsidR="00F959AD" w:rsidRPr="00F959AD">
        <w:rPr>
          <w:rFonts w:ascii="Times New Roman" w:hAnsi="Times New Roman" w:cs="Times New Roman"/>
          <w:b/>
          <w:color w:val="548DD4" w:themeColor="text2" w:themeTint="99"/>
          <w:sz w:val="24"/>
          <w:szCs w:val="24"/>
        </w:rPr>
        <w:t>Корабельная, 32</w:t>
      </w:r>
    </w:p>
    <w:p w:rsidR="00522223" w:rsidRPr="005F3C01" w:rsidRDefault="00522223" w:rsidP="00522223">
      <w:pPr>
        <w:autoSpaceDE w:val="0"/>
        <w:autoSpaceDN w:val="0"/>
        <w:adjustRightInd w:val="0"/>
        <w:spacing w:after="60" w:line="240" w:lineRule="auto"/>
        <w:ind w:left="709"/>
        <w:jc w:val="both"/>
        <w:rPr>
          <w:sz w:val="24"/>
          <w:szCs w:val="24"/>
        </w:rPr>
      </w:pPr>
      <w:r>
        <w:rPr>
          <w:rFonts w:ascii="Times New Roman" w:hAnsi="Times New Roman" w:cs="Times New Roman"/>
          <w:b/>
          <w:color w:val="548DD4" w:themeColor="text2" w:themeTint="99"/>
          <w:sz w:val="24"/>
          <w:szCs w:val="24"/>
        </w:rPr>
        <w:t xml:space="preserve"> </w:t>
      </w:r>
    </w:p>
    <w:p w:rsidR="008F5F7C" w:rsidRPr="008F3221" w:rsidRDefault="008F5F7C" w:rsidP="008F5F7C">
      <w:pPr>
        <w:pStyle w:val="1"/>
        <w:spacing w:before="0"/>
        <w:rPr>
          <w:rFonts w:ascii="Times New Roman" w:hAnsi="Times New Roman" w:cs="Times New Roman"/>
          <w:sz w:val="20"/>
          <w:szCs w:val="20"/>
        </w:rPr>
      </w:pPr>
    </w:p>
    <w:p w:rsidR="008F5F7C" w:rsidRPr="00640938" w:rsidRDefault="009360EE" w:rsidP="008F5F7C">
      <w:pPr>
        <w:pStyle w:val="ConsPlusNormal"/>
        <w:ind w:firstLine="540"/>
        <w:jc w:val="both"/>
        <w:rPr>
          <w:sz w:val="24"/>
          <w:szCs w:val="24"/>
        </w:rPr>
      </w:pPr>
      <w:r>
        <w:rPr>
          <w:sz w:val="24"/>
          <w:szCs w:val="24"/>
        </w:rPr>
        <w:t xml:space="preserve"> </w:t>
      </w:r>
    </w:p>
    <w:p w:rsidR="000653F9" w:rsidRPr="00A33D8A" w:rsidRDefault="000653F9" w:rsidP="00DA2903">
      <w:pPr>
        <w:autoSpaceDE w:val="0"/>
        <w:autoSpaceDN w:val="0"/>
        <w:adjustRightInd w:val="0"/>
        <w:spacing w:after="0" w:line="240" w:lineRule="auto"/>
        <w:jc w:val="both"/>
        <w:rPr>
          <w:sz w:val="24"/>
          <w:szCs w:val="24"/>
        </w:rPr>
      </w:pPr>
    </w:p>
    <w:sectPr w:rsidR="000653F9" w:rsidRPr="00A33D8A" w:rsidSect="008C2E25">
      <w:pgSz w:w="16838" w:h="11906" w:orient="landscape"/>
      <w:pgMar w:top="1134" w:right="850" w:bottom="1134" w:left="170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A8B" w:rsidRDefault="00A04A8B" w:rsidP="00DC7CA8">
      <w:pPr>
        <w:spacing w:after="0" w:line="240" w:lineRule="auto"/>
      </w:pPr>
      <w:r>
        <w:separator/>
      </w:r>
    </w:p>
  </w:endnote>
  <w:endnote w:type="continuationSeparator" w:id="0">
    <w:p w:rsidR="00A04A8B" w:rsidRDefault="00A04A8B" w:rsidP="00DC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A8B" w:rsidRDefault="00A04A8B" w:rsidP="00DC7CA8">
      <w:pPr>
        <w:spacing w:after="0" w:line="240" w:lineRule="auto"/>
      </w:pPr>
      <w:r>
        <w:separator/>
      </w:r>
    </w:p>
  </w:footnote>
  <w:footnote w:type="continuationSeparator" w:id="0">
    <w:p w:rsidR="00A04A8B" w:rsidRDefault="00A04A8B" w:rsidP="00DC7CA8">
      <w:pPr>
        <w:spacing w:after="0" w:line="240" w:lineRule="auto"/>
      </w:pPr>
      <w:r>
        <w:continuationSeparator/>
      </w:r>
    </w:p>
  </w:footnote>
  <w:footnote w:id="1">
    <w:p w:rsidR="00522223" w:rsidRPr="005F3C01" w:rsidRDefault="00522223" w:rsidP="00522223">
      <w:pPr>
        <w:autoSpaceDE w:val="0"/>
        <w:autoSpaceDN w:val="0"/>
        <w:adjustRightInd w:val="0"/>
        <w:spacing w:after="0" w:line="240" w:lineRule="auto"/>
        <w:jc w:val="both"/>
        <w:rPr>
          <w:sz w:val="20"/>
          <w:szCs w:val="20"/>
        </w:rPr>
      </w:pPr>
      <w:r>
        <w:rPr>
          <w:rStyle w:val="ae"/>
        </w:rPr>
        <w:footnoteRef/>
      </w:r>
      <w:r>
        <w:t xml:space="preserve"> </w:t>
      </w:r>
      <w:r w:rsidRPr="005F3C01">
        <w:rPr>
          <w:rFonts w:ascii="Times New Roman" w:eastAsia="Times New Roman" w:hAnsi="Times New Roman" w:cs="Times New Roman"/>
          <w:sz w:val="20"/>
          <w:szCs w:val="20"/>
          <w:lang w:eastAsia="ru-RU"/>
        </w:rPr>
        <w:t xml:space="preserve">Основы функционирования розничных рынков электрической энергии, утвержденные </w:t>
      </w:r>
      <w:r w:rsidRPr="005F3C01">
        <w:rPr>
          <w:rFonts w:ascii="Times New Roman" w:hAnsi="Times New Roman" w:cs="Times New Roman"/>
          <w:sz w:val="20"/>
          <w:szCs w:val="20"/>
        </w:rPr>
        <w:t>постановлением Правительства РФ от 04.05.2012 № 442</w:t>
      </w:r>
    </w:p>
  </w:footnote>
  <w:footnote w:id="2">
    <w:p w:rsidR="00522223" w:rsidRDefault="00522223" w:rsidP="00522223">
      <w:pPr>
        <w:autoSpaceDE w:val="0"/>
        <w:snapToGrid w:val="0"/>
        <w:jc w:val="both"/>
      </w:pPr>
      <w:r w:rsidRPr="005F3C01">
        <w:rPr>
          <w:rStyle w:val="ae"/>
          <w:sz w:val="20"/>
          <w:szCs w:val="20"/>
        </w:rPr>
        <w:footnoteRef/>
      </w:r>
      <w:r w:rsidRPr="005F3C01">
        <w:rPr>
          <w:sz w:val="20"/>
          <w:szCs w:val="20"/>
        </w:rPr>
        <w:t xml:space="preserve"> </w:t>
      </w:r>
      <w:r w:rsidRPr="005F3C01">
        <w:rPr>
          <w:rFonts w:ascii="Times New Roman" w:eastAsia="Times New Roman" w:hAnsi="Times New Roman" w:cs="Times New Roman"/>
          <w:sz w:val="20"/>
          <w:szCs w:val="20"/>
          <w:lang w:eastAsia="ru-RU"/>
        </w:rPr>
        <w:t>Пра</w:t>
      </w:r>
      <w:r w:rsidRPr="005F3C01">
        <w:rPr>
          <w:rFonts w:ascii="Times New Roman" w:hAnsi="Times New Roman" w:cs="Times New Roman"/>
          <w:sz w:val="20"/>
          <w:szCs w:val="20"/>
        </w:rPr>
        <w:t>вила предоставления коммунальных услуг собственникам и пользователям помещений в многоквартирных домах и жилых домов, утвержденные п</w:t>
      </w:r>
      <w:r w:rsidRPr="005F3C01">
        <w:rPr>
          <w:rFonts w:ascii="Times New Roman" w:eastAsia="Times New Roman" w:hAnsi="Times New Roman" w:cs="Times New Roman"/>
          <w:sz w:val="20"/>
          <w:szCs w:val="20"/>
          <w:lang w:eastAsia="ru-RU"/>
        </w:rPr>
        <w:t>остановлением Правительства РФ от 06.05.2011 №354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63223"/>
    <w:multiLevelType w:val="hybridMultilevel"/>
    <w:tmpl w:val="437C3716"/>
    <w:lvl w:ilvl="0" w:tplc="D924DC2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D285CC1"/>
    <w:multiLevelType w:val="hybridMultilevel"/>
    <w:tmpl w:val="967E0194"/>
    <w:lvl w:ilvl="0" w:tplc="BBD67AAC">
      <w:start w:val="1"/>
      <w:numFmt w:val="decimal"/>
      <w:lvlText w:val="%1."/>
      <w:lvlJc w:val="left"/>
      <w:pPr>
        <w:ind w:left="907" w:hanging="360"/>
      </w:pPr>
      <w:rPr>
        <w:rFonts w:asciiTheme="minorHAnsi" w:eastAsiaTheme="minorHAnsi" w:hAnsiTheme="minorHAnsi" w:cstheme="minorBidi"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 w15:restartNumberingAfterBreak="0">
    <w:nsid w:val="434441EF"/>
    <w:multiLevelType w:val="hybridMultilevel"/>
    <w:tmpl w:val="7C50AE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9741AFC"/>
    <w:multiLevelType w:val="hybridMultilevel"/>
    <w:tmpl w:val="F1A83F92"/>
    <w:lvl w:ilvl="0" w:tplc="B1AE0E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64C5956"/>
    <w:multiLevelType w:val="hybridMultilevel"/>
    <w:tmpl w:val="DDCEEB02"/>
    <w:lvl w:ilvl="0" w:tplc="D924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A3D125B"/>
    <w:multiLevelType w:val="hybridMultilevel"/>
    <w:tmpl w:val="67C0AF7C"/>
    <w:lvl w:ilvl="0" w:tplc="D924DC2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F9"/>
    <w:rsid w:val="00000CC2"/>
    <w:rsid w:val="00022F24"/>
    <w:rsid w:val="0002340B"/>
    <w:rsid w:val="0002598C"/>
    <w:rsid w:val="00026177"/>
    <w:rsid w:val="000653F9"/>
    <w:rsid w:val="000825BA"/>
    <w:rsid w:val="000A0687"/>
    <w:rsid w:val="000B071F"/>
    <w:rsid w:val="000C3C93"/>
    <w:rsid w:val="000D0D64"/>
    <w:rsid w:val="000E710C"/>
    <w:rsid w:val="00142EA5"/>
    <w:rsid w:val="001452AF"/>
    <w:rsid w:val="001533DF"/>
    <w:rsid w:val="00164660"/>
    <w:rsid w:val="00166A53"/>
    <w:rsid w:val="00166D9F"/>
    <w:rsid w:val="00182892"/>
    <w:rsid w:val="00187BF5"/>
    <w:rsid w:val="0019014D"/>
    <w:rsid w:val="00195358"/>
    <w:rsid w:val="001D45A0"/>
    <w:rsid w:val="00206665"/>
    <w:rsid w:val="00206CD3"/>
    <w:rsid w:val="0022778E"/>
    <w:rsid w:val="00231805"/>
    <w:rsid w:val="00233155"/>
    <w:rsid w:val="00242530"/>
    <w:rsid w:val="00251BEC"/>
    <w:rsid w:val="0025260E"/>
    <w:rsid w:val="0029622E"/>
    <w:rsid w:val="002963F2"/>
    <w:rsid w:val="002978AF"/>
    <w:rsid w:val="002A16A3"/>
    <w:rsid w:val="002A3BA1"/>
    <w:rsid w:val="002A4954"/>
    <w:rsid w:val="002A5552"/>
    <w:rsid w:val="002C24EC"/>
    <w:rsid w:val="002C56E2"/>
    <w:rsid w:val="002D0D77"/>
    <w:rsid w:val="002F0D68"/>
    <w:rsid w:val="0032200A"/>
    <w:rsid w:val="0032230E"/>
    <w:rsid w:val="00326913"/>
    <w:rsid w:val="00347706"/>
    <w:rsid w:val="00347A15"/>
    <w:rsid w:val="003907F9"/>
    <w:rsid w:val="003A6292"/>
    <w:rsid w:val="003B555E"/>
    <w:rsid w:val="003B6F93"/>
    <w:rsid w:val="003C556E"/>
    <w:rsid w:val="003D4D3D"/>
    <w:rsid w:val="003F39CA"/>
    <w:rsid w:val="003F5301"/>
    <w:rsid w:val="00401788"/>
    <w:rsid w:val="0040345C"/>
    <w:rsid w:val="00404B35"/>
    <w:rsid w:val="00405B1D"/>
    <w:rsid w:val="00405E12"/>
    <w:rsid w:val="0041124A"/>
    <w:rsid w:val="00420452"/>
    <w:rsid w:val="00442712"/>
    <w:rsid w:val="00443775"/>
    <w:rsid w:val="00456FDD"/>
    <w:rsid w:val="00462FE4"/>
    <w:rsid w:val="004A4D60"/>
    <w:rsid w:val="004B75E4"/>
    <w:rsid w:val="004C18E8"/>
    <w:rsid w:val="004D2FC8"/>
    <w:rsid w:val="004F68F4"/>
    <w:rsid w:val="00505A8E"/>
    <w:rsid w:val="0051045A"/>
    <w:rsid w:val="0051352D"/>
    <w:rsid w:val="00522223"/>
    <w:rsid w:val="00524428"/>
    <w:rsid w:val="0052493B"/>
    <w:rsid w:val="00534E9A"/>
    <w:rsid w:val="00557796"/>
    <w:rsid w:val="00571E41"/>
    <w:rsid w:val="00584BD8"/>
    <w:rsid w:val="005B015A"/>
    <w:rsid w:val="005B627E"/>
    <w:rsid w:val="005C22A7"/>
    <w:rsid w:val="005E5AAE"/>
    <w:rsid w:val="005F2F3E"/>
    <w:rsid w:val="00614532"/>
    <w:rsid w:val="00620C3D"/>
    <w:rsid w:val="00630110"/>
    <w:rsid w:val="00640439"/>
    <w:rsid w:val="0065173C"/>
    <w:rsid w:val="00656844"/>
    <w:rsid w:val="00664ED5"/>
    <w:rsid w:val="00666E7C"/>
    <w:rsid w:val="00671387"/>
    <w:rsid w:val="00675DBB"/>
    <w:rsid w:val="00677F5A"/>
    <w:rsid w:val="0068656C"/>
    <w:rsid w:val="00690D12"/>
    <w:rsid w:val="006967D4"/>
    <w:rsid w:val="006A3ACA"/>
    <w:rsid w:val="006A72BB"/>
    <w:rsid w:val="006D2EDE"/>
    <w:rsid w:val="006E400B"/>
    <w:rsid w:val="006F2514"/>
    <w:rsid w:val="006F446F"/>
    <w:rsid w:val="0070128B"/>
    <w:rsid w:val="00724218"/>
    <w:rsid w:val="00745E75"/>
    <w:rsid w:val="00760ECF"/>
    <w:rsid w:val="00762B2B"/>
    <w:rsid w:val="00776C32"/>
    <w:rsid w:val="0078335E"/>
    <w:rsid w:val="007877ED"/>
    <w:rsid w:val="007919F1"/>
    <w:rsid w:val="007A2C8F"/>
    <w:rsid w:val="007C13BB"/>
    <w:rsid w:val="007C5088"/>
    <w:rsid w:val="007E41FA"/>
    <w:rsid w:val="007F5149"/>
    <w:rsid w:val="00806C78"/>
    <w:rsid w:val="008117CC"/>
    <w:rsid w:val="00823FF3"/>
    <w:rsid w:val="00824E68"/>
    <w:rsid w:val="008254DA"/>
    <w:rsid w:val="00826B8B"/>
    <w:rsid w:val="0082713E"/>
    <w:rsid w:val="008319FD"/>
    <w:rsid w:val="00863174"/>
    <w:rsid w:val="00886156"/>
    <w:rsid w:val="008C2E25"/>
    <w:rsid w:val="008C64E4"/>
    <w:rsid w:val="008D218C"/>
    <w:rsid w:val="008D2E8D"/>
    <w:rsid w:val="008E16CB"/>
    <w:rsid w:val="008F2903"/>
    <w:rsid w:val="008F5F7C"/>
    <w:rsid w:val="009001F4"/>
    <w:rsid w:val="00904E58"/>
    <w:rsid w:val="009360EE"/>
    <w:rsid w:val="0096077D"/>
    <w:rsid w:val="00974F7E"/>
    <w:rsid w:val="00983A16"/>
    <w:rsid w:val="00996EEC"/>
    <w:rsid w:val="009C0268"/>
    <w:rsid w:val="009D7322"/>
    <w:rsid w:val="00A04A8B"/>
    <w:rsid w:val="00A22C5F"/>
    <w:rsid w:val="00A33D8A"/>
    <w:rsid w:val="00A3583B"/>
    <w:rsid w:val="00A44E14"/>
    <w:rsid w:val="00A474DD"/>
    <w:rsid w:val="00A61E75"/>
    <w:rsid w:val="00A705D8"/>
    <w:rsid w:val="00A74F88"/>
    <w:rsid w:val="00AA316B"/>
    <w:rsid w:val="00AE08E3"/>
    <w:rsid w:val="00AF67C0"/>
    <w:rsid w:val="00B04094"/>
    <w:rsid w:val="00B04DE3"/>
    <w:rsid w:val="00B06ACF"/>
    <w:rsid w:val="00B118E9"/>
    <w:rsid w:val="00B1460D"/>
    <w:rsid w:val="00B365B6"/>
    <w:rsid w:val="00B40D8E"/>
    <w:rsid w:val="00B564E5"/>
    <w:rsid w:val="00B81E57"/>
    <w:rsid w:val="00B8308D"/>
    <w:rsid w:val="00B84849"/>
    <w:rsid w:val="00BA00C5"/>
    <w:rsid w:val="00BA531D"/>
    <w:rsid w:val="00BA7F88"/>
    <w:rsid w:val="00BB4032"/>
    <w:rsid w:val="00BB7AE2"/>
    <w:rsid w:val="00BD087E"/>
    <w:rsid w:val="00BD50F0"/>
    <w:rsid w:val="00BE7298"/>
    <w:rsid w:val="00BF741D"/>
    <w:rsid w:val="00C02B7A"/>
    <w:rsid w:val="00C05A4F"/>
    <w:rsid w:val="00C20511"/>
    <w:rsid w:val="00C2064F"/>
    <w:rsid w:val="00C25F4B"/>
    <w:rsid w:val="00C3511E"/>
    <w:rsid w:val="00C379FF"/>
    <w:rsid w:val="00C458B0"/>
    <w:rsid w:val="00C514F8"/>
    <w:rsid w:val="00C74D96"/>
    <w:rsid w:val="00C75E65"/>
    <w:rsid w:val="00C800F1"/>
    <w:rsid w:val="00CA183B"/>
    <w:rsid w:val="00CA1E91"/>
    <w:rsid w:val="00CC1A0A"/>
    <w:rsid w:val="00CC211B"/>
    <w:rsid w:val="00CC482F"/>
    <w:rsid w:val="00CF1785"/>
    <w:rsid w:val="00D0562A"/>
    <w:rsid w:val="00D1019A"/>
    <w:rsid w:val="00D1715B"/>
    <w:rsid w:val="00D25AFD"/>
    <w:rsid w:val="00D34055"/>
    <w:rsid w:val="00D47D80"/>
    <w:rsid w:val="00D5048C"/>
    <w:rsid w:val="00D50CC7"/>
    <w:rsid w:val="00D679FC"/>
    <w:rsid w:val="00D73C9D"/>
    <w:rsid w:val="00DA2903"/>
    <w:rsid w:val="00DC03DD"/>
    <w:rsid w:val="00DC7CA8"/>
    <w:rsid w:val="00E01206"/>
    <w:rsid w:val="00E20DAF"/>
    <w:rsid w:val="00E212F3"/>
    <w:rsid w:val="00E26865"/>
    <w:rsid w:val="00E36F56"/>
    <w:rsid w:val="00E45CFE"/>
    <w:rsid w:val="00E5056E"/>
    <w:rsid w:val="00E53D9B"/>
    <w:rsid w:val="00E557B2"/>
    <w:rsid w:val="00E63CFB"/>
    <w:rsid w:val="00E70070"/>
    <w:rsid w:val="00E70F7F"/>
    <w:rsid w:val="00EA53BE"/>
    <w:rsid w:val="00EC6F80"/>
    <w:rsid w:val="00EC7D6D"/>
    <w:rsid w:val="00ED42E7"/>
    <w:rsid w:val="00EE2C63"/>
    <w:rsid w:val="00EF23AD"/>
    <w:rsid w:val="00F276F8"/>
    <w:rsid w:val="00F4184B"/>
    <w:rsid w:val="00F624BB"/>
    <w:rsid w:val="00F87578"/>
    <w:rsid w:val="00F959AD"/>
    <w:rsid w:val="00FC139B"/>
    <w:rsid w:val="00FC1E5A"/>
    <w:rsid w:val="00FC33E3"/>
    <w:rsid w:val="00FD5BD9"/>
    <w:rsid w:val="00FE0A69"/>
    <w:rsid w:val="00FF1355"/>
    <w:rsid w:val="00FF5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DE03B"/>
  <w15:docId w15:val="{6624952C-BF21-4B54-8F7D-78384503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3775"/>
  </w:style>
  <w:style w:type="paragraph" w:styleId="1">
    <w:name w:val="heading 1"/>
    <w:basedOn w:val="a"/>
    <w:next w:val="a"/>
    <w:link w:val="10"/>
    <w:uiPriority w:val="9"/>
    <w:qFormat/>
    <w:rsid w:val="00C05A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53F9"/>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0653F9"/>
    <w:pPr>
      <w:autoSpaceDE w:val="0"/>
      <w:autoSpaceDN w:val="0"/>
      <w:adjustRightInd w:val="0"/>
      <w:spacing w:after="0" w:line="240" w:lineRule="auto"/>
    </w:pPr>
    <w:rPr>
      <w:rFonts w:ascii="Courier New" w:hAnsi="Courier New" w:cs="Courier New"/>
      <w:sz w:val="20"/>
      <w:szCs w:val="20"/>
    </w:rPr>
  </w:style>
  <w:style w:type="paragraph" w:styleId="a3">
    <w:name w:val="List Paragraph"/>
    <w:basedOn w:val="a"/>
    <w:uiPriority w:val="34"/>
    <w:qFormat/>
    <w:rsid w:val="00666E7C"/>
    <w:pPr>
      <w:ind w:left="720"/>
      <w:contextualSpacing/>
    </w:pPr>
  </w:style>
  <w:style w:type="paragraph" w:styleId="a4">
    <w:name w:val="Balloon Text"/>
    <w:basedOn w:val="a"/>
    <w:link w:val="a5"/>
    <w:uiPriority w:val="99"/>
    <w:semiHidden/>
    <w:unhideWhenUsed/>
    <w:rsid w:val="0032691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913"/>
    <w:rPr>
      <w:rFonts w:ascii="Tahoma" w:hAnsi="Tahoma" w:cs="Tahoma"/>
      <w:sz w:val="16"/>
      <w:szCs w:val="16"/>
    </w:rPr>
  </w:style>
  <w:style w:type="character" w:styleId="a6">
    <w:name w:val="Strong"/>
    <w:basedOn w:val="a0"/>
    <w:uiPriority w:val="22"/>
    <w:qFormat/>
    <w:rsid w:val="00022F24"/>
    <w:rPr>
      <w:b/>
      <w:bCs/>
    </w:rPr>
  </w:style>
  <w:style w:type="paragraph" w:customStyle="1" w:styleId="Default">
    <w:name w:val="Default"/>
    <w:rsid w:val="00E36F56"/>
    <w:pPr>
      <w:autoSpaceDE w:val="0"/>
      <w:autoSpaceDN w:val="0"/>
      <w:adjustRightInd w:val="0"/>
      <w:spacing w:after="0" w:line="240" w:lineRule="auto"/>
    </w:pPr>
    <w:rPr>
      <w:rFonts w:ascii="Calibri" w:hAnsi="Calibri" w:cs="Calibri"/>
      <w:color w:val="000000"/>
      <w:sz w:val="24"/>
      <w:szCs w:val="24"/>
    </w:rPr>
  </w:style>
  <w:style w:type="character" w:styleId="a7">
    <w:name w:val="annotation reference"/>
    <w:basedOn w:val="a0"/>
    <w:uiPriority w:val="99"/>
    <w:semiHidden/>
    <w:unhideWhenUsed/>
    <w:rsid w:val="00584BD8"/>
    <w:rPr>
      <w:sz w:val="16"/>
      <w:szCs w:val="16"/>
    </w:rPr>
  </w:style>
  <w:style w:type="paragraph" w:styleId="a8">
    <w:name w:val="annotation text"/>
    <w:basedOn w:val="a"/>
    <w:link w:val="a9"/>
    <w:uiPriority w:val="99"/>
    <w:semiHidden/>
    <w:unhideWhenUsed/>
    <w:rsid w:val="00584BD8"/>
    <w:pPr>
      <w:spacing w:line="240" w:lineRule="auto"/>
    </w:pPr>
    <w:rPr>
      <w:sz w:val="20"/>
      <w:szCs w:val="20"/>
    </w:rPr>
  </w:style>
  <w:style w:type="character" w:customStyle="1" w:styleId="a9">
    <w:name w:val="Текст примечания Знак"/>
    <w:basedOn w:val="a0"/>
    <w:link w:val="a8"/>
    <w:uiPriority w:val="99"/>
    <w:semiHidden/>
    <w:rsid w:val="00584BD8"/>
    <w:rPr>
      <w:sz w:val="20"/>
      <w:szCs w:val="20"/>
    </w:rPr>
  </w:style>
  <w:style w:type="paragraph" w:styleId="aa">
    <w:name w:val="annotation subject"/>
    <w:basedOn w:val="a8"/>
    <w:next w:val="a8"/>
    <w:link w:val="ab"/>
    <w:uiPriority w:val="99"/>
    <w:semiHidden/>
    <w:unhideWhenUsed/>
    <w:rsid w:val="00584BD8"/>
    <w:rPr>
      <w:b/>
      <w:bCs/>
    </w:rPr>
  </w:style>
  <w:style w:type="character" w:customStyle="1" w:styleId="ab">
    <w:name w:val="Тема примечания Знак"/>
    <w:basedOn w:val="a9"/>
    <w:link w:val="aa"/>
    <w:uiPriority w:val="99"/>
    <w:semiHidden/>
    <w:rsid w:val="00584BD8"/>
    <w:rPr>
      <w:b/>
      <w:bCs/>
      <w:sz w:val="20"/>
      <w:szCs w:val="20"/>
    </w:rPr>
  </w:style>
  <w:style w:type="table" w:customStyle="1" w:styleId="-11">
    <w:name w:val="Светлая заливка - Акцент 11"/>
    <w:basedOn w:val="a1"/>
    <w:uiPriority w:val="60"/>
    <w:rsid w:val="008C2E2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c">
    <w:name w:val="footnote text"/>
    <w:basedOn w:val="a"/>
    <w:link w:val="ad"/>
    <w:uiPriority w:val="99"/>
    <w:unhideWhenUsed/>
    <w:rsid w:val="00DC7CA8"/>
    <w:pPr>
      <w:spacing w:after="0" w:line="240" w:lineRule="auto"/>
    </w:pPr>
    <w:rPr>
      <w:sz w:val="20"/>
      <w:szCs w:val="20"/>
    </w:rPr>
  </w:style>
  <w:style w:type="character" w:customStyle="1" w:styleId="ad">
    <w:name w:val="Текст сноски Знак"/>
    <w:basedOn w:val="a0"/>
    <w:link w:val="ac"/>
    <w:uiPriority w:val="99"/>
    <w:rsid w:val="00DC7CA8"/>
    <w:rPr>
      <w:sz w:val="20"/>
      <w:szCs w:val="20"/>
    </w:rPr>
  </w:style>
  <w:style w:type="character" w:styleId="ae">
    <w:name w:val="footnote reference"/>
    <w:basedOn w:val="a0"/>
    <w:uiPriority w:val="99"/>
    <w:unhideWhenUsed/>
    <w:rsid w:val="00DC7CA8"/>
    <w:rPr>
      <w:vertAlign w:val="superscript"/>
    </w:rPr>
  </w:style>
  <w:style w:type="table" w:customStyle="1" w:styleId="-110">
    <w:name w:val="Светлый список - Акцент 11"/>
    <w:basedOn w:val="a1"/>
    <w:uiPriority w:val="61"/>
    <w:rsid w:val="00DC7CA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Document Map"/>
    <w:basedOn w:val="a"/>
    <w:link w:val="af0"/>
    <w:uiPriority w:val="99"/>
    <w:semiHidden/>
    <w:unhideWhenUsed/>
    <w:rsid w:val="00D679FC"/>
    <w:pPr>
      <w:spacing w:after="0" w:line="240" w:lineRule="auto"/>
    </w:pPr>
    <w:rPr>
      <w:rFonts w:ascii="Tahoma" w:hAnsi="Tahoma" w:cs="Tahoma"/>
      <w:sz w:val="16"/>
      <w:szCs w:val="16"/>
    </w:rPr>
  </w:style>
  <w:style w:type="character" w:customStyle="1" w:styleId="af0">
    <w:name w:val="Схема документа Знак"/>
    <w:basedOn w:val="a0"/>
    <w:link w:val="af"/>
    <w:uiPriority w:val="99"/>
    <w:semiHidden/>
    <w:rsid w:val="00D679FC"/>
    <w:rPr>
      <w:rFonts w:ascii="Tahoma" w:hAnsi="Tahoma" w:cs="Tahoma"/>
      <w:sz w:val="16"/>
      <w:szCs w:val="16"/>
    </w:rPr>
  </w:style>
  <w:style w:type="character" w:customStyle="1" w:styleId="10">
    <w:name w:val="Заголовок 1 Знак"/>
    <w:basedOn w:val="a0"/>
    <w:link w:val="1"/>
    <w:uiPriority w:val="9"/>
    <w:rsid w:val="00C05A4F"/>
    <w:rPr>
      <w:rFonts w:asciiTheme="majorHAnsi" w:eastAsiaTheme="majorEastAsia" w:hAnsiTheme="majorHAnsi" w:cstheme="majorBidi"/>
      <w:b/>
      <w:bCs/>
      <w:color w:val="365F91" w:themeColor="accent1" w:themeShade="BF"/>
      <w:sz w:val="28"/>
      <w:szCs w:val="28"/>
    </w:rPr>
  </w:style>
  <w:style w:type="paragraph" w:customStyle="1" w:styleId="af1">
    <w:name w:val="Нормальный (таблица)"/>
    <w:basedOn w:val="a"/>
    <w:next w:val="a"/>
    <w:uiPriority w:val="99"/>
    <w:rsid w:val="00CA183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2">
    <w:name w:val="МРСК_таблица_текст"/>
    <w:basedOn w:val="a"/>
    <w:rsid w:val="0040345C"/>
    <w:pPr>
      <w:keepNext/>
      <w:spacing w:after="0" w:line="240" w:lineRule="auto"/>
      <w:jc w:val="both"/>
    </w:pPr>
    <w:rPr>
      <w:rFonts w:ascii="Times New Roman" w:eastAsia="Times New Roman" w:hAnsi="Times New Roman" w:cs="Times New Roman"/>
      <w:sz w:val="20"/>
      <w:szCs w:val="20"/>
      <w:lang w:eastAsia="ru-RU"/>
    </w:rPr>
  </w:style>
  <w:style w:type="character" w:styleId="af3">
    <w:name w:val="page number"/>
    <w:basedOn w:val="a0"/>
    <w:rsid w:val="00E70070"/>
  </w:style>
  <w:style w:type="character" w:styleId="af4">
    <w:name w:val="Hyperlink"/>
    <w:basedOn w:val="a0"/>
    <w:uiPriority w:val="99"/>
    <w:unhideWhenUsed/>
    <w:rsid w:val="00DA2903"/>
    <w:rPr>
      <w:color w:val="0000FF"/>
      <w:u w:val="single"/>
    </w:rPr>
  </w:style>
  <w:style w:type="paragraph" w:styleId="af5">
    <w:name w:val="header"/>
    <w:basedOn w:val="a"/>
    <w:link w:val="af6"/>
    <w:uiPriority w:val="99"/>
    <w:unhideWhenUsed/>
    <w:rsid w:val="00FD5BD9"/>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FD5BD9"/>
  </w:style>
  <w:style w:type="paragraph" w:styleId="af7">
    <w:name w:val="footer"/>
    <w:basedOn w:val="a"/>
    <w:link w:val="af8"/>
    <w:uiPriority w:val="99"/>
    <w:unhideWhenUsed/>
    <w:rsid w:val="00FD5BD9"/>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D5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192933">
      <w:bodyDiv w:val="1"/>
      <w:marLeft w:val="0"/>
      <w:marRight w:val="0"/>
      <w:marTop w:val="0"/>
      <w:marBottom w:val="0"/>
      <w:divBdr>
        <w:top w:val="none" w:sz="0" w:space="0" w:color="auto"/>
        <w:left w:val="none" w:sz="0" w:space="0" w:color="auto"/>
        <w:bottom w:val="none" w:sz="0" w:space="0" w:color="auto"/>
        <w:right w:val="none" w:sz="0" w:space="0" w:color="auto"/>
      </w:divBdr>
      <w:divsChild>
        <w:div w:id="2103604278">
          <w:marLeft w:val="300"/>
          <w:marRight w:val="300"/>
          <w:marTop w:val="300"/>
          <w:marBottom w:val="300"/>
          <w:divBdr>
            <w:top w:val="none" w:sz="0" w:space="0" w:color="auto"/>
            <w:left w:val="none" w:sz="0" w:space="0" w:color="auto"/>
            <w:bottom w:val="none" w:sz="0" w:space="0" w:color="auto"/>
            <w:right w:val="none" w:sz="0" w:space="0" w:color="auto"/>
          </w:divBdr>
          <w:divsChild>
            <w:div w:id="1980374778">
              <w:marLeft w:val="0"/>
              <w:marRight w:val="0"/>
              <w:marTop w:val="0"/>
              <w:marBottom w:val="0"/>
              <w:divBdr>
                <w:top w:val="none" w:sz="0" w:space="0" w:color="auto"/>
                <w:left w:val="none" w:sz="0" w:space="0" w:color="auto"/>
                <w:bottom w:val="none" w:sz="0" w:space="0" w:color="auto"/>
                <w:right w:val="none" w:sz="0" w:space="0" w:color="auto"/>
              </w:divBdr>
              <w:divsChild>
                <w:div w:id="72295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23534">
      <w:bodyDiv w:val="1"/>
      <w:marLeft w:val="0"/>
      <w:marRight w:val="0"/>
      <w:marTop w:val="0"/>
      <w:marBottom w:val="0"/>
      <w:divBdr>
        <w:top w:val="none" w:sz="0" w:space="0" w:color="auto"/>
        <w:left w:val="none" w:sz="0" w:space="0" w:color="auto"/>
        <w:bottom w:val="none" w:sz="0" w:space="0" w:color="auto"/>
        <w:right w:val="none" w:sz="0" w:space="0" w:color="auto"/>
      </w:divBdr>
    </w:div>
    <w:div w:id="1012221732">
      <w:bodyDiv w:val="1"/>
      <w:marLeft w:val="0"/>
      <w:marRight w:val="0"/>
      <w:marTop w:val="0"/>
      <w:marBottom w:val="0"/>
      <w:divBdr>
        <w:top w:val="none" w:sz="0" w:space="0" w:color="auto"/>
        <w:left w:val="none" w:sz="0" w:space="0" w:color="auto"/>
        <w:bottom w:val="none" w:sz="0" w:space="0" w:color="auto"/>
        <w:right w:val="none" w:sz="0" w:space="0" w:color="auto"/>
      </w:divBdr>
      <w:divsChild>
        <w:div w:id="1794059532">
          <w:marLeft w:val="0"/>
          <w:marRight w:val="0"/>
          <w:marTop w:val="0"/>
          <w:marBottom w:val="0"/>
          <w:divBdr>
            <w:top w:val="none" w:sz="0" w:space="0" w:color="auto"/>
            <w:left w:val="none" w:sz="0" w:space="0" w:color="auto"/>
            <w:bottom w:val="none" w:sz="0" w:space="0" w:color="auto"/>
            <w:right w:val="none" w:sz="0" w:space="0" w:color="auto"/>
          </w:divBdr>
        </w:div>
        <w:div w:id="725883480">
          <w:marLeft w:val="0"/>
          <w:marRight w:val="0"/>
          <w:marTop w:val="0"/>
          <w:marBottom w:val="0"/>
          <w:divBdr>
            <w:top w:val="none" w:sz="0" w:space="0" w:color="auto"/>
            <w:left w:val="none" w:sz="0" w:space="0" w:color="auto"/>
            <w:bottom w:val="none" w:sz="0" w:space="0" w:color="auto"/>
            <w:right w:val="none" w:sz="0" w:space="0" w:color="auto"/>
          </w:divBdr>
        </w:div>
        <w:div w:id="1045835661">
          <w:marLeft w:val="0"/>
          <w:marRight w:val="0"/>
          <w:marTop w:val="0"/>
          <w:marBottom w:val="0"/>
          <w:divBdr>
            <w:top w:val="none" w:sz="0" w:space="0" w:color="auto"/>
            <w:left w:val="none" w:sz="0" w:space="0" w:color="auto"/>
            <w:bottom w:val="none" w:sz="0" w:space="0" w:color="auto"/>
            <w:right w:val="none" w:sz="0" w:space="0" w:color="auto"/>
          </w:divBdr>
        </w:div>
      </w:divsChild>
    </w:div>
    <w:div w:id="149352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22BDD-BE77-4502-BC07-F03F673D3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2024</Words>
  <Characters>11537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МРСК Сибири</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Куличкова Светлана Викторовна</dc:creator>
  <cp:lastModifiedBy>user</cp:lastModifiedBy>
  <cp:revision>4</cp:revision>
  <cp:lastPrinted>2018-03-26T03:46:00Z</cp:lastPrinted>
  <dcterms:created xsi:type="dcterms:W3CDTF">2021-12-23T03:57:00Z</dcterms:created>
  <dcterms:modified xsi:type="dcterms:W3CDTF">2022-04-29T07:53:00Z</dcterms:modified>
</cp:coreProperties>
</file>